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5E2F" w14:textId="77777777" w:rsidR="003275A6" w:rsidRDefault="003275A6" w:rsidP="003275A6">
      <w:pPr>
        <w:pStyle w:val="Maintext"/>
        <w:spacing w:line="240" w:lineRule="auto"/>
        <w:jc w:val="right"/>
        <w:rPr>
          <w:b/>
          <w:bCs/>
          <w:sz w:val="48"/>
          <w:szCs w:val="48"/>
        </w:rPr>
      </w:pPr>
      <w:r>
        <w:rPr>
          <w:noProof/>
          <w:lang w:eastAsia="en-GB"/>
        </w:rPr>
        <w:drawing>
          <wp:inline distT="0" distB="0" distL="0" distR="0" wp14:anchorId="49C3653D" wp14:editId="680FBB5C">
            <wp:extent cx="2865120" cy="769620"/>
            <wp:effectExtent l="19050" t="0" r="0" b="0"/>
            <wp:docPr id="1" name="Picture 1" descr="GC_Logo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ogo_B&amp;W"/>
                    <pic:cNvPicPr>
                      <a:picLocks noChangeAspect="1" noChangeArrowheads="1"/>
                    </pic:cNvPicPr>
                  </pic:nvPicPr>
                  <pic:blipFill>
                    <a:blip r:embed="rId13"/>
                    <a:srcRect/>
                    <a:stretch>
                      <a:fillRect/>
                    </a:stretch>
                  </pic:blipFill>
                  <pic:spPr bwMode="auto">
                    <a:xfrm>
                      <a:off x="0" y="0"/>
                      <a:ext cx="2865120" cy="769620"/>
                    </a:xfrm>
                    <a:prstGeom prst="rect">
                      <a:avLst/>
                    </a:prstGeom>
                    <a:noFill/>
                    <a:ln w="9525">
                      <a:noFill/>
                      <a:miter lim="800000"/>
                      <a:headEnd/>
                      <a:tailEnd/>
                    </a:ln>
                  </pic:spPr>
                </pic:pic>
              </a:graphicData>
            </a:graphic>
          </wp:inline>
        </w:drawing>
      </w:r>
    </w:p>
    <w:p w14:paraId="29ABFD0E" w14:textId="77777777" w:rsidR="003275A6" w:rsidRDefault="003275A6" w:rsidP="003275A6">
      <w:pPr>
        <w:pStyle w:val="Maintext"/>
        <w:spacing w:line="240" w:lineRule="auto"/>
        <w:rPr>
          <w:b/>
          <w:bCs/>
          <w:sz w:val="48"/>
          <w:szCs w:val="48"/>
        </w:rPr>
      </w:pPr>
    </w:p>
    <w:p w14:paraId="40829AB3" w14:textId="77777777" w:rsidR="00F5619A" w:rsidRDefault="00F5619A" w:rsidP="00F5619A">
      <w:pPr>
        <w:pStyle w:val="Maintext"/>
        <w:spacing w:line="240" w:lineRule="auto"/>
        <w:rPr>
          <w:b/>
          <w:bCs/>
          <w:sz w:val="48"/>
          <w:szCs w:val="48"/>
        </w:rPr>
      </w:pPr>
      <w:r>
        <w:rPr>
          <w:b/>
          <w:bCs/>
          <w:sz w:val="48"/>
          <w:szCs w:val="48"/>
        </w:rPr>
        <w:t>ADR Entity Reporting</w:t>
      </w:r>
    </w:p>
    <w:p w14:paraId="6D759C3E" w14:textId="11ECDC29" w:rsidR="00F5619A" w:rsidRPr="00BD1B58" w:rsidRDefault="00F5619A" w:rsidP="00F5619A">
      <w:pPr>
        <w:pStyle w:val="Maintext"/>
        <w:spacing w:line="240" w:lineRule="auto"/>
        <w:rPr>
          <w:b/>
          <w:bCs/>
          <w:sz w:val="48"/>
          <w:szCs w:val="48"/>
        </w:rPr>
      </w:pPr>
      <w:r w:rsidRPr="009C5308">
        <w:rPr>
          <w:b/>
          <w:bCs/>
          <w:sz w:val="40"/>
          <w:szCs w:val="40"/>
        </w:rPr>
        <w:t xml:space="preserve">Information which an ADR entity must communicate to the relevant </w:t>
      </w:r>
      <w:r w:rsidR="00DA5651">
        <w:rPr>
          <w:b/>
          <w:bCs/>
          <w:sz w:val="40"/>
          <w:szCs w:val="40"/>
        </w:rPr>
        <w:t>C</w:t>
      </w:r>
      <w:r w:rsidRPr="009C5308">
        <w:rPr>
          <w:b/>
          <w:bCs/>
          <w:sz w:val="40"/>
          <w:szCs w:val="40"/>
        </w:rPr>
        <w:t>ompetent Authority every two years</w:t>
      </w:r>
    </w:p>
    <w:p w14:paraId="23C84CA9" w14:textId="77777777" w:rsidR="003275A6" w:rsidRPr="00BD1B58" w:rsidRDefault="003275A6" w:rsidP="003275A6">
      <w:pPr>
        <w:pStyle w:val="Maintext"/>
        <w:spacing w:line="240" w:lineRule="auto"/>
        <w:rPr>
          <w:sz w:val="22"/>
          <w:szCs w:val="22"/>
        </w:rPr>
      </w:pPr>
    </w:p>
    <w:p w14:paraId="5631BA79" w14:textId="633940CA" w:rsidR="003275A6" w:rsidRPr="00BD1B58" w:rsidRDefault="003275A6" w:rsidP="003275A6">
      <w:pPr>
        <w:pStyle w:val="Maintext"/>
        <w:spacing w:line="240" w:lineRule="auto"/>
        <w:rPr>
          <w:sz w:val="28"/>
          <w:szCs w:val="28"/>
        </w:rPr>
      </w:pPr>
      <w:r>
        <w:rPr>
          <w:sz w:val="28"/>
          <w:szCs w:val="28"/>
        </w:rPr>
        <w:t xml:space="preserve">Reporting period - </w:t>
      </w:r>
      <w:permStart w:id="1439839097" w:edGrp="everyone"/>
      <w:r>
        <w:rPr>
          <w:sz w:val="28"/>
          <w:szCs w:val="28"/>
        </w:rPr>
        <w:t xml:space="preserve">      </w:t>
      </w:r>
      <w:r w:rsidR="00E8667C">
        <w:rPr>
          <w:sz w:val="28"/>
          <w:szCs w:val="28"/>
        </w:rPr>
        <w:t>1 October 20</w:t>
      </w:r>
      <w:r w:rsidR="004B6AFE">
        <w:rPr>
          <w:sz w:val="28"/>
          <w:szCs w:val="28"/>
        </w:rPr>
        <w:t>21 – 30 September 2023</w:t>
      </w:r>
    </w:p>
    <w:permEnd w:id="1439839097"/>
    <w:p w14:paraId="4CCB8DF2" w14:textId="77777777" w:rsidR="003275A6" w:rsidRDefault="003275A6" w:rsidP="003275A6">
      <w:pPr>
        <w:pStyle w:val="Maintext"/>
        <w:spacing w:line="280" w:lineRule="exact"/>
        <w:rPr>
          <w:sz w:val="22"/>
        </w:rPr>
      </w:pPr>
    </w:p>
    <w:p w14:paraId="38115C86" w14:textId="4461706B" w:rsidR="003275A6" w:rsidRDefault="003275A6" w:rsidP="003275A6">
      <w:pPr>
        <w:pStyle w:val="Maintext"/>
        <w:spacing w:line="280" w:lineRule="exact"/>
        <w:rPr>
          <w:sz w:val="28"/>
          <w:szCs w:val="28"/>
        </w:rPr>
      </w:pPr>
      <w:r w:rsidRPr="00E8623A">
        <w:rPr>
          <w:sz w:val="28"/>
          <w:szCs w:val="28"/>
        </w:rPr>
        <w:t xml:space="preserve">Name of ADR Provider </w:t>
      </w:r>
      <w:r>
        <w:rPr>
          <w:sz w:val="28"/>
          <w:szCs w:val="28"/>
        </w:rPr>
        <w:t xml:space="preserve">– </w:t>
      </w:r>
      <w:permStart w:id="1698640828" w:edGrp="everyone"/>
      <w:r>
        <w:rPr>
          <w:sz w:val="28"/>
          <w:szCs w:val="28"/>
        </w:rPr>
        <w:t xml:space="preserve"> </w:t>
      </w:r>
      <w:r w:rsidR="00DA5651">
        <w:rPr>
          <w:sz w:val="28"/>
          <w:szCs w:val="28"/>
        </w:rPr>
        <w:t xml:space="preserve">  </w:t>
      </w:r>
      <w:r>
        <w:rPr>
          <w:sz w:val="28"/>
          <w:szCs w:val="28"/>
        </w:rPr>
        <w:t xml:space="preserve"> </w:t>
      </w:r>
      <w:r w:rsidR="004B6AFE">
        <w:rPr>
          <w:sz w:val="28"/>
          <w:szCs w:val="28"/>
        </w:rPr>
        <w:t>ProMediate</w:t>
      </w:r>
    </w:p>
    <w:permEnd w:id="1698640828"/>
    <w:p w14:paraId="0D1751D5" w14:textId="77777777" w:rsidR="003275A6" w:rsidRDefault="003275A6" w:rsidP="003275A6">
      <w:pPr>
        <w:pStyle w:val="Maintext"/>
        <w:spacing w:line="280" w:lineRule="exact"/>
        <w:rPr>
          <w:sz w:val="28"/>
          <w:szCs w:val="28"/>
        </w:rPr>
      </w:pPr>
    </w:p>
    <w:p w14:paraId="4A751DB1" w14:textId="00CD5F77" w:rsidR="00F5619A" w:rsidRDefault="007E6A87" w:rsidP="00F5619A">
      <w:pPr>
        <w:pStyle w:val="Maintext"/>
        <w:spacing w:line="280" w:lineRule="exact"/>
        <w:rPr>
          <w:b/>
          <w:sz w:val="22"/>
        </w:rPr>
      </w:pPr>
      <w:r>
        <w:rPr>
          <w:b/>
          <w:sz w:val="22"/>
        </w:rPr>
        <w:t>B</w:t>
      </w:r>
      <w:r w:rsidR="00F5619A">
        <w:rPr>
          <w:b/>
          <w:sz w:val="22"/>
        </w:rPr>
        <w:t>iennial</w:t>
      </w:r>
      <w:r w:rsidR="00F5619A" w:rsidRPr="00D201E3">
        <w:rPr>
          <w:b/>
          <w:sz w:val="22"/>
        </w:rPr>
        <w:t xml:space="preserve"> activity report</w:t>
      </w:r>
      <w:r>
        <w:rPr>
          <w:b/>
          <w:sz w:val="22"/>
        </w:rPr>
        <w:t xml:space="preserve"> required information</w:t>
      </w:r>
      <w:r w:rsidR="00F5619A" w:rsidRPr="00D201E3">
        <w:rPr>
          <w:b/>
          <w:sz w:val="22"/>
        </w:rPr>
        <w:t>.</w:t>
      </w:r>
    </w:p>
    <w:p w14:paraId="0A00EA44" w14:textId="77777777" w:rsidR="00F5619A" w:rsidRPr="00F67B91" w:rsidRDefault="00F5619A" w:rsidP="00F5619A">
      <w:pPr>
        <w:pStyle w:val="Maintext"/>
        <w:spacing w:line="280" w:lineRule="exact"/>
        <w:rPr>
          <w:sz w:val="22"/>
        </w:rPr>
      </w:pPr>
    </w:p>
    <w:tbl>
      <w:tblPr>
        <w:tblStyle w:val="TableGrid"/>
        <w:tblW w:w="10166" w:type="dxa"/>
        <w:tblInd w:w="-5" w:type="dxa"/>
        <w:tblLook w:val="04A0" w:firstRow="1" w:lastRow="0" w:firstColumn="1" w:lastColumn="0" w:noHBand="0" w:noVBand="1"/>
      </w:tblPr>
      <w:tblGrid>
        <w:gridCol w:w="4820"/>
        <w:gridCol w:w="3969"/>
        <w:gridCol w:w="1377"/>
      </w:tblGrid>
      <w:tr w:rsidR="00F5619A" w:rsidRPr="00F67B91" w14:paraId="22CCBFB3" w14:textId="77777777" w:rsidTr="007E6A87">
        <w:trPr>
          <w:trHeight w:val="649"/>
        </w:trPr>
        <w:tc>
          <w:tcPr>
            <w:tcW w:w="4820" w:type="dxa"/>
          </w:tcPr>
          <w:p w14:paraId="6027F9CF" w14:textId="77777777" w:rsidR="00F5619A" w:rsidRPr="00F67B91" w:rsidRDefault="00F5619A" w:rsidP="003B0E35">
            <w:pPr>
              <w:pStyle w:val="Maintext"/>
              <w:spacing w:line="280" w:lineRule="exact"/>
              <w:jc w:val="center"/>
              <w:rPr>
                <w:b/>
                <w:sz w:val="22"/>
              </w:rPr>
            </w:pPr>
            <w:r w:rsidRPr="00F67B91">
              <w:rPr>
                <w:b/>
                <w:sz w:val="22"/>
              </w:rPr>
              <w:t>Information as specified in regulations</w:t>
            </w:r>
          </w:p>
        </w:tc>
        <w:tc>
          <w:tcPr>
            <w:tcW w:w="3969" w:type="dxa"/>
          </w:tcPr>
          <w:p w14:paraId="78A7627F" w14:textId="77777777" w:rsidR="00F5619A" w:rsidRPr="00F67B91" w:rsidRDefault="00F5619A" w:rsidP="003B0E35">
            <w:pPr>
              <w:pStyle w:val="Maintext"/>
              <w:spacing w:line="280" w:lineRule="exact"/>
              <w:jc w:val="center"/>
              <w:rPr>
                <w:b/>
                <w:sz w:val="22"/>
              </w:rPr>
            </w:pPr>
            <w:r>
              <w:rPr>
                <w:b/>
                <w:sz w:val="22"/>
              </w:rPr>
              <w:t>Basic guidance</w:t>
            </w:r>
          </w:p>
        </w:tc>
        <w:tc>
          <w:tcPr>
            <w:tcW w:w="1377" w:type="dxa"/>
          </w:tcPr>
          <w:p w14:paraId="487A9C58" w14:textId="77777777" w:rsidR="00F5619A" w:rsidRPr="007E6A87" w:rsidRDefault="00F5619A" w:rsidP="003B0E35">
            <w:pPr>
              <w:pStyle w:val="Maintext"/>
              <w:spacing w:line="280" w:lineRule="exact"/>
              <w:jc w:val="center"/>
              <w:rPr>
                <w:b/>
                <w:bCs/>
                <w:sz w:val="22"/>
              </w:rPr>
            </w:pPr>
            <w:r w:rsidRPr="007E6A87">
              <w:rPr>
                <w:b/>
                <w:bCs/>
                <w:sz w:val="22"/>
              </w:rPr>
              <w:t>Annual Report Qs</w:t>
            </w:r>
          </w:p>
        </w:tc>
      </w:tr>
      <w:tr w:rsidR="00F5619A" w:rsidRPr="00F67B91" w14:paraId="5AEA1266" w14:textId="77777777" w:rsidTr="007E6A87">
        <w:trPr>
          <w:trHeight w:val="830"/>
        </w:trPr>
        <w:tc>
          <w:tcPr>
            <w:tcW w:w="4820" w:type="dxa"/>
          </w:tcPr>
          <w:p w14:paraId="23E306CD" w14:textId="77777777" w:rsidR="00F5619A" w:rsidRPr="00F67B91" w:rsidRDefault="00F5619A" w:rsidP="00F5619A">
            <w:pPr>
              <w:pStyle w:val="Maintext"/>
              <w:numPr>
                <w:ilvl w:val="0"/>
                <w:numId w:val="2"/>
              </w:numPr>
              <w:rPr>
                <w:sz w:val="22"/>
              </w:rPr>
            </w:pPr>
            <w:r w:rsidRPr="00F67B91">
              <w:rPr>
                <w:sz w:val="22"/>
              </w:rPr>
              <w:t xml:space="preserve">the number of disputes </w:t>
            </w:r>
            <w:r>
              <w:rPr>
                <w:sz w:val="22"/>
              </w:rPr>
              <w:t>received by</w:t>
            </w:r>
            <w:r w:rsidRPr="00F67B91">
              <w:rPr>
                <w:sz w:val="22"/>
              </w:rPr>
              <w:t xml:space="preserve"> the ADR entity </w:t>
            </w:r>
            <w:r>
              <w:rPr>
                <w:sz w:val="22"/>
              </w:rPr>
              <w:t>and the types of complaints to which the disputes related</w:t>
            </w:r>
          </w:p>
        </w:tc>
        <w:tc>
          <w:tcPr>
            <w:tcW w:w="3969" w:type="dxa"/>
          </w:tcPr>
          <w:p w14:paraId="5788B8F8" w14:textId="19189EDF" w:rsidR="00F5619A" w:rsidRPr="00DA5651" w:rsidRDefault="00DA5651" w:rsidP="00DA5651">
            <w:pPr>
              <w:pStyle w:val="Maintext"/>
              <w:spacing w:line="240" w:lineRule="auto"/>
              <w:rPr>
                <w:sz w:val="28"/>
                <w:szCs w:val="28"/>
              </w:rPr>
            </w:pPr>
            <w:permStart w:id="786964773" w:edGrp="everyone"/>
            <w:r>
              <w:rPr>
                <w:sz w:val="28"/>
                <w:szCs w:val="28"/>
              </w:rPr>
              <w:t xml:space="preserve"> </w:t>
            </w:r>
            <w:r w:rsidR="008B144B">
              <w:rPr>
                <w:sz w:val="28"/>
              </w:rPr>
              <w:t xml:space="preserve">We have only dealt with one dispute which </w:t>
            </w:r>
            <w:r w:rsidR="00A24334">
              <w:rPr>
                <w:sz w:val="28"/>
              </w:rPr>
              <w:t>concerned the allegation that the operator had not acted in a correct manner in respect of social responsibility.</w:t>
            </w:r>
            <w:permEnd w:id="786964773"/>
          </w:p>
        </w:tc>
        <w:tc>
          <w:tcPr>
            <w:tcW w:w="1377" w:type="dxa"/>
          </w:tcPr>
          <w:p w14:paraId="332CDB69" w14:textId="77777777" w:rsidR="00F5619A" w:rsidRDefault="00F5619A" w:rsidP="003B0E35">
            <w:pPr>
              <w:pStyle w:val="Maintext"/>
              <w:spacing w:line="280" w:lineRule="exact"/>
              <w:jc w:val="center"/>
              <w:rPr>
                <w:sz w:val="22"/>
              </w:rPr>
            </w:pPr>
            <w:r>
              <w:rPr>
                <w:sz w:val="22"/>
              </w:rPr>
              <w:t>a &amp; b</w:t>
            </w:r>
          </w:p>
        </w:tc>
      </w:tr>
      <w:tr w:rsidR="00F5619A" w:rsidRPr="00F67B91" w14:paraId="600D40EB" w14:textId="77777777" w:rsidTr="007E6A87">
        <w:trPr>
          <w:trHeight w:val="840"/>
        </w:trPr>
        <w:tc>
          <w:tcPr>
            <w:tcW w:w="4820" w:type="dxa"/>
          </w:tcPr>
          <w:p w14:paraId="60D0C94A" w14:textId="77777777" w:rsidR="00F5619A" w:rsidRPr="00F67B91" w:rsidRDefault="00F5619A" w:rsidP="00F5619A">
            <w:pPr>
              <w:pStyle w:val="Maintext"/>
              <w:numPr>
                <w:ilvl w:val="0"/>
                <w:numId w:val="2"/>
              </w:numPr>
              <w:rPr>
                <w:sz w:val="22"/>
              </w:rPr>
            </w:pPr>
            <w:r w:rsidRPr="00F67B91">
              <w:rPr>
                <w:sz w:val="22"/>
              </w:rPr>
              <w:t xml:space="preserve">the </w:t>
            </w:r>
            <w:r>
              <w:rPr>
                <w:sz w:val="22"/>
              </w:rPr>
              <w:t>percentage share of alternative dispute resolution procedures which were discontinued before an outcome was reached.</w:t>
            </w:r>
          </w:p>
        </w:tc>
        <w:tc>
          <w:tcPr>
            <w:tcW w:w="3969" w:type="dxa"/>
          </w:tcPr>
          <w:p w14:paraId="44C70DD9" w14:textId="60938C21" w:rsidR="00F5619A" w:rsidRPr="007E6A87" w:rsidRDefault="007E6A87" w:rsidP="007E6A87">
            <w:pPr>
              <w:pStyle w:val="Maintext"/>
              <w:spacing w:line="240" w:lineRule="auto"/>
              <w:rPr>
                <w:sz w:val="28"/>
                <w:szCs w:val="28"/>
              </w:rPr>
            </w:pPr>
            <w:permStart w:id="713297050" w:edGrp="everyone"/>
            <w:r>
              <w:rPr>
                <w:sz w:val="28"/>
                <w:szCs w:val="28"/>
              </w:rPr>
              <w:t xml:space="preserve">    </w:t>
            </w:r>
            <w:r w:rsidR="00C71E34">
              <w:rPr>
                <w:sz w:val="28"/>
                <w:szCs w:val="28"/>
              </w:rPr>
              <w:t>0</w:t>
            </w:r>
            <w:r>
              <w:rPr>
                <w:sz w:val="28"/>
                <w:szCs w:val="28"/>
              </w:rPr>
              <w:t xml:space="preserve">  </w:t>
            </w:r>
            <w:permEnd w:id="713297050"/>
          </w:p>
        </w:tc>
        <w:tc>
          <w:tcPr>
            <w:tcW w:w="1377" w:type="dxa"/>
          </w:tcPr>
          <w:p w14:paraId="236B223D" w14:textId="77777777" w:rsidR="00F5619A" w:rsidRPr="00F67B91" w:rsidRDefault="00F5619A" w:rsidP="003B0E35">
            <w:pPr>
              <w:pStyle w:val="Maintext"/>
              <w:spacing w:line="280" w:lineRule="exact"/>
              <w:jc w:val="center"/>
              <w:rPr>
                <w:sz w:val="22"/>
              </w:rPr>
            </w:pPr>
            <w:r>
              <w:rPr>
                <w:sz w:val="22"/>
              </w:rPr>
              <w:t>d</w:t>
            </w:r>
          </w:p>
        </w:tc>
      </w:tr>
      <w:tr w:rsidR="00F5619A" w:rsidRPr="00F67B91" w14:paraId="7020E8EA" w14:textId="77777777" w:rsidTr="007E6A87">
        <w:trPr>
          <w:trHeight w:val="553"/>
        </w:trPr>
        <w:tc>
          <w:tcPr>
            <w:tcW w:w="4820" w:type="dxa"/>
          </w:tcPr>
          <w:p w14:paraId="77807180" w14:textId="77777777" w:rsidR="00F5619A" w:rsidRPr="00F67B91" w:rsidRDefault="00F5619A" w:rsidP="00F5619A">
            <w:pPr>
              <w:pStyle w:val="Maintext"/>
              <w:numPr>
                <w:ilvl w:val="0"/>
                <w:numId w:val="2"/>
              </w:numPr>
              <w:rPr>
                <w:sz w:val="22"/>
              </w:rPr>
            </w:pPr>
            <w:r>
              <w:rPr>
                <w:sz w:val="22"/>
              </w:rPr>
              <w:t>the average time taken to resolve the disputes which the ADR entity has received</w:t>
            </w:r>
          </w:p>
        </w:tc>
        <w:tc>
          <w:tcPr>
            <w:tcW w:w="3969" w:type="dxa"/>
          </w:tcPr>
          <w:p w14:paraId="158F3E8D" w14:textId="492D475F" w:rsidR="00F5619A" w:rsidRPr="007E6A87" w:rsidRDefault="007E6A87" w:rsidP="007E6A87">
            <w:pPr>
              <w:pStyle w:val="Maintext"/>
              <w:spacing w:line="240" w:lineRule="auto"/>
              <w:rPr>
                <w:sz w:val="28"/>
                <w:szCs w:val="28"/>
              </w:rPr>
            </w:pPr>
            <w:permStart w:id="212225222" w:edGrp="everyone"/>
            <w:r>
              <w:rPr>
                <w:sz w:val="28"/>
                <w:szCs w:val="28"/>
              </w:rPr>
              <w:t xml:space="preserve">    </w:t>
            </w:r>
            <w:r w:rsidR="00C71E34">
              <w:rPr>
                <w:sz w:val="28"/>
                <w:szCs w:val="28"/>
              </w:rPr>
              <w:t xml:space="preserve">56 because in this dispute the complaint was abroad for a period during the </w:t>
            </w:r>
            <w:r w:rsidR="007B70DC">
              <w:rPr>
                <w:sz w:val="28"/>
                <w:szCs w:val="28"/>
              </w:rPr>
              <w:t>process</w:t>
            </w:r>
            <w:permEnd w:id="212225222"/>
          </w:p>
        </w:tc>
        <w:tc>
          <w:tcPr>
            <w:tcW w:w="1377" w:type="dxa"/>
          </w:tcPr>
          <w:p w14:paraId="335F7539" w14:textId="77777777" w:rsidR="00F5619A" w:rsidRPr="00F67B91" w:rsidRDefault="00F5619A" w:rsidP="003B0E35">
            <w:pPr>
              <w:pStyle w:val="Maintext"/>
              <w:spacing w:line="280" w:lineRule="exact"/>
              <w:jc w:val="center"/>
              <w:rPr>
                <w:sz w:val="22"/>
              </w:rPr>
            </w:pPr>
            <w:r>
              <w:rPr>
                <w:sz w:val="22"/>
              </w:rPr>
              <w:t>e</w:t>
            </w:r>
          </w:p>
        </w:tc>
      </w:tr>
      <w:tr w:rsidR="00F5619A" w:rsidRPr="00F67B91" w14:paraId="17974F7E" w14:textId="77777777" w:rsidTr="007E6A87">
        <w:trPr>
          <w:trHeight w:val="553"/>
        </w:trPr>
        <w:tc>
          <w:tcPr>
            <w:tcW w:w="4820" w:type="dxa"/>
          </w:tcPr>
          <w:p w14:paraId="399457B6" w14:textId="77777777" w:rsidR="00F5619A" w:rsidRPr="00F67B91" w:rsidRDefault="00F5619A" w:rsidP="00F5619A">
            <w:pPr>
              <w:pStyle w:val="Maintext"/>
              <w:numPr>
                <w:ilvl w:val="0"/>
                <w:numId w:val="2"/>
              </w:numPr>
              <w:rPr>
                <w:sz w:val="22"/>
              </w:rPr>
            </w:pPr>
            <w:r>
              <w:rPr>
                <w:sz w:val="22"/>
              </w:rPr>
              <w:t>the rate of compliance, if known, with the outcomes of its alternative disputes procedures</w:t>
            </w:r>
          </w:p>
        </w:tc>
        <w:tc>
          <w:tcPr>
            <w:tcW w:w="3969" w:type="dxa"/>
          </w:tcPr>
          <w:p w14:paraId="0AF5C0F4" w14:textId="57FEFC45" w:rsidR="00F5619A" w:rsidRPr="007E6A87" w:rsidRDefault="007E6A87" w:rsidP="007E6A87">
            <w:pPr>
              <w:pStyle w:val="Maintext"/>
              <w:spacing w:line="240" w:lineRule="auto"/>
              <w:rPr>
                <w:sz w:val="28"/>
                <w:szCs w:val="28"/>
              </w:rPr>
            </w:pPr>
            <w:permStart w:id="717292307" w:edGrp="everyone"/>
            <w:r>
              <w:rPr>
                <w:sz w:val="28"/>
                <w:szCs w:val="28"/>
              </w:rPr>
              <w:t xml:space="preserve"> </w:t>
            </w:r>
            <w:r w:rsidR="007B70DC">
              <w:rPr>
                <w:sz w:val="28"/>
                <w:szCs w:val="28"/>
              </w:rPr>
              <w:t xml:space="preserve">Not applicable as the operator had not breached its </w:t>
            </w:r>
            <w:r w:rsidR="00684D89">
              <w:rPr>
                <w:sz w:val="28"/>
                <w:szCs w:val="28"/>
              </w:rPr>
              <w:t xml:space="preserve">obligations </w:t>
            </w:r>
            <w:r>
              <w:rPr>
                <w:sz w:val="28"/>
                <w:szCs w:val="28"/>
              </w:rPr>
              <w:t xml:space="preserve">   </w:t>
            </w:r>
            <w:permEnd w:id="717292307"/>
          </w:p>
        </w:tc>
        <w:tc>
          <w:tcPr>
            <w:tcW w:w="1377" w:type="dxa"/>
          </w:tcPr>
          <w:p w14:paraId="10F81055" w14:textId="77777777" w:rsidR="00F5619A" w:rsidRPr="00F67B91" w:rsidRDefault="00F5619A" w:rsidP="003B0E35">
            <w:pPr>
              <w:pStyle w:val="Maintext"/>
              <w:spacing w:line="280" w:lineRule="exact"/>
              <w:jc w:val="center"/>
              <w:rPr>
                <w:sz w:val="22"/>
              </w:rPr>
            </w:pPr>
          </w:p>
        </w:tc>
      </w:tr>
      <w:tr w:rsidR="00F5619A" w:rsidRPr="00F67B91" w14:paraId="397E6687" w14:textId="77777777" w:rsidTr="007E6A87">
        <w:trPr>
          <w:trHeight w:val="1394"/>
        </w:trPr>
        <w:tc>
          <w:tcPr>
            <w:tcW w:w="4820" w:type="dxa"/>
          </w:tcPr>
          <w:p w14:paraId="22D15A9C" w14:textId="77777777" w:rsidR="00F5619A" w:rsidRPr="00F67B91" w:rsidRDefault="00F5619A" w:rsidP="00F5619A">
            <w:pPr>
              <w:pStyle w:val="Maintext"/>
              <w:numPr>
                <w:ilvl w:val="0"/>
                <w:numId w:val="2"/>
              </w:numPr>
              <w:rPr>
                <w:sz w:val="22"/>
              </w:rPr>
            </w:pPr>
            <w:r>
              <w:rPr>
                <w:sz w:val="22"/>
              </w:rPr>
              <w:t>any recommendations the ADR entity may have as to how any systematic or significant problems that occur frequently and lead to disputes between consumers and traders could be avoided or resolved in future</w:t>
            </w:r>
          </w:p>
        </w:tc>
        <w:tc>
          <w:tcPr>
            <w:tcW w:w="3969" w:type="dxa"/>
          </w:tcPr>
          <w:p w14:paraId="548DD13C" w14:textId="1274971D" w:rsidR="00F5619A" w:rsidRPr="007E6A87" w:rsidRDefault="007E6A87" w:rsidP="007E6A87">
            <w:pPr>
              <w:pStyle w:val="Maintext"/>
              <w:spacing w:line="240" w:lineRule="auto"/>
              <w:rPr>
                <w:sz w:val="28"/>
                <w:szCs w:val="28"/>
              </w:rPr>
            </w:pPr>
            <w:permStart w:id="156049586" w:edGrp="everyone"/>
            <w:r>
              <w:rPr>
                <w:sz w:val="28"/>
                <w:szCs w:val="28"/>
              </w:rPr>
              <w:t xml:space="preserve">   </w:t>
            </w:r>
            <w:r w:rsidR="00684D89">
              <w:rPr>
                <w:sz w:val="28"/>
                <w:szCs w:val="28"/>
              </w:rPr>
              <w:t>The limits for warning gamblers</w:t>
            </w:r>
            <w:r w:rsidR="000B0E5D">
              <w:rPr>
                <w:sz w:val="28"/>
                <w:szCs w:val="28"/>
              </w:rPr>
              <w:t xml:space="preserve"> about excessive </w:t>
            </w:r>
            <w:r w:rsidR="005B0C8B">
              <w:rPr>
                <w:sz w:val="28"/>
                <w:szCs w:val="28"/>
              </w:rPr>
              <w:t>usage could be lowered</w:t>
            </w:r>
            <w:r>
              <w:rPr>
                <w:sz w:val="28"/>
                <w:szCs w:val="28"/>
              </w:rPr>
              <w:t xml:space="preserve">  </w:t>
            </w:r>
            <w:permEnd w:id="156049586"/>
          </w:p>
        </w:tc>
        <w:tc>
          <w:tcPr>
            <w:tcW w:w="1377" w:type="dxa"/>
          </w:tcPr>
          <w:p w14:paraId="5FA0DE56" w14:textId="77777777" w:rsidR="00F5619A" w:rsidRPr="00F67B91" w:rsidRDefault="00F5619A" w:rsidP="003B0E35">
            <w:pPr>
              <w:pStyle w:val="Maintext"/>
              <w:jc w:val="center"/>
              <w:rPr>
                <w:sz w:val="22"/>
              </w:rPr>
            </w:pPr>
            <w:r>
              <w:rPr>
                <w:sz w:val="22"/>
              </w:rPr>
              <w:t>l</w:t>
            </w:r>
          </w:p>
        </w:tc>
      </w:tr>
      <w:tr w:rsidR="00F5619A" w:rsidRPr="00F67B91" w14:paraId="006758F8" w14:textId="77777777" w:rsidTr="007E6A87">
        <w:trPr>
          <w:trHeight w:val="1385"/>
        </w:trPr>
        <w:tc>
          <w:tcPr>
            <w:tcW w:w="4820" w:type="dxa"/>
          </w:tcPr>
          <w:p w14:paraId="4130285A" w14:textId="77777777" w:rsidR="00F5619A" w:rsidRPr="00F67B91" w:rsidRDefault="00F5619A" w:rsidP="00F5619A">
            <w:pPr>
              <w:pStyle w:val="Maintext"/>
              <w:numPr>
                <w:ilvl w:val="0"/>
                <w:numId w:val="2"/>
              </w:numPr>
              <w:rPr>
                <w:sz w:val="22"/>
              </w:rPr>
            </w:pPr>
            <w:r>
              <w:rPr>
                <w:sz w:val="22"/>
              </w:rPr>
              <w:t>where the ADR entity is a member of any network of ADR entities which facilitates the resolution of cross-border disputes, an assessment of the effectiveness of its cooperation in that network.</w:t>
            </w:r>
          </w:p>
        </w:tc>
        <w:tc>
          <w:tcPr>
            <w:tcW w:w="3969" w:type="dxa"/>
          </w:tcPr>
          <w:p w14:paraId="6F88E054" w14:textId="00693CC1" w:rsidR="00F5619A" w:rsidRPr="007E6A87" w:rsidRDefault="007E6A87" w:rsidP="007E6A87">
            <w:pPr>
              <w:pStyle w:val="Maintext"/>
              <w:spacing w:line="240" w:lineRule="auto"/>
              <w:rPr>
                <w:sz w:val="28"/>
                <w:szCs w:val="28"/>
              </w:rPr>
            </w:pPr>
            <w:permStart w:id="708264461" w:edGrp="everyone"/>
            <w:r>
              <w:rPr>
                <w:sz w:val="28"/>
                <w:szCs w:val="28"/>
              </w:rPr>
              <w:t xml:space="preserve">   </w:t>
            </w:r>
            <w:r w:rsidR="005B0C8B">
              <w:rPr>
                <w:sz w:val="28"/>
                <w:szCs w:val="28"/>
              </w:rPr>
              <w:t xml:space="preserve">Not applicable </w:t>
            </w:r>
            <w:r>
              <w:rPr>
                <w:sz w:val="28"/>
                <w:szCs w:val="28"/>
              </w:rPr>
              <w:t xml:space="preserve">  </w:t>
            </w:r>
            <w:permEnd w:id="708264461"/>
          </w:p>
        </w:tc>
        <w:tc>
          <w:tcPr>
            <w:tcW w:w="1377" w:type="dxa"/>
          </w:tcPr>
          <w:p w14:paraId="7112FC56" w14:textId="77777777" w:rsidR="00F5619A" w:rsidRPr="00F67B91" w:rsidRDefault="00F5619A" w:rsidP="003B0E35">
            <w:pPr>
              <w:pStyle w:val="Maintext"/>
              <w:jc w:val="center"/>
              <w:rPr>
                <w:sz w:val="22"/>
              </w:rPr>
            </w:pPr>
            <w:r>
              <w:rPr>
                <w:sz w:val="22"/>
              </w:rPr>
              <w:t>n</w:t>
            </w:r>
          </w:p>
        </w:tc>
      </w:tr>
      <w:tr w:rsidR="00F5619A" w:rsidRPr="00F67B91" w14:paraId="2AD4457F" w14:textId="77777777" w:rsidTr="007E6A87">
        <w:trPr>
          <w:trHeight w:val="553"/>
        </w:trPr>
        <w:tc>
          <w:tcPr>
            <w:tcW w:w="4820" w:type="dxa"/>
          </w:tcPr>
          <w:p w14:paraId="17CCE0F6" w14:textId="77777777" w:rsidR="00F5619A" w:rsidRPr="00F67B91" w:rsidRDefault="00F5619A" w:rsidP="00F5619A">
            <w:pPr>
              <w:pStyle w:val="Maintext"/>
              <w:numPr>
                <w:ilvl w:val="0"/>
                <w:numId w:val="2"/>
              </w:numPr>
              <w:rPr>
                <w:sz w:val="22"/>
              </w:rPr>
            </w:pPr>
            <w:r>
              <w:rPr>
                <w:sz w:val="22"/>
              </w:rPr>
              <w:t>where the ADR entity provides training to its ADR officials, details of the training it provides</w:t>
            </w:r>
          </w:p>
        </w:tc>
        <w:tc>
          <w:tcPr>
            <w:tcW w:w="3969" w:type="dxa"/>
          </w:tcPr>
          <w:p w14:paraId="29DF000E" w14:textId="48910CD6" w:rsidR="00F5619A" w:rsidRPr="007E6A87" w:rsidRDefault="007E6A87" w:rsidP="007E6A87">
            <w:pPr>
              <w:pStyle w:val="Maintext"/>
              <w:spacing w:line="240" w:lineRule="auto"/>
              <w:rPr>
                <w:sz w:val="28"/>
                <w:szCs w:val="28"/>
              </w:rPr>
            </w:pPr>
            <w:permStart w:id="1560694527" w:edGrp="everyone"/>
            <w:r>
              <w:rPr>
                <w:sz w:val="28"/>
                <w:szCs w:val="28"/>
              </w:rPr>
              <w:t xml:space="preserve">    </w:t>
            </w:r>
            <w:r w:rsidR="0070724D">
              <w:rPr>
                <w:sz w:val="28"/>
                <w:szCs w:val="28"/>
              </w:rPr>
              <w:t xml:space="preserve">We do not provide training to our one mediator. He </w:t>
            </w:r>
            <w:r w:rsidR="0070724D">
              <w:rPr>
                <w:sz w:val="28"/>
                <w:szCs w:val="28"/>
              </w:rPr>
              <w:lastRenderedPageBreak/>
              <w:t xml:space="preserve">receives external </w:t>
            </w:r>
            <w:r w:rsidR="00BA2920">
              <w:rPr>
                <w:sz w:val="28"/>
                <w:szCs w:val="28"/>
              </w:rPr>
              <w:t xml:space="preserve">mediation and other </w:t>
            </w:r>
            <w:r w:rsidR="0070724D">
              <w:rPr>
                <w:sz w:val="28"/>
                <w:szCs w:val="28"/>
              </w:rPr>
              <w:t>training and keeps up to date with developments at the UKGC</w:t>
            </w:r>
            <w:r>
              <w:rPr>
                <w:sz w:val="28"/>
                <w:szCs w:val="28"/>
              </w:rPr>
              <w:t xml:space="preserve">  </w:t>
            </w:r>
            <w:permEnd w:id="1560694527"/>
          </w:p>
        </w:tc>
        <w:tc>
          <w:tcPr>
            <w:tcW w:w="1377" w:type="dxa"/>
          </w:tcPr>
          <w:p w14:paraId="6B11F441" w14:textId="77777777" w:rsidR="00F5619A" w:rsidRPr="00F67B91" w:rsidRDefault="00F5619A" w:rsidP="003B0E35">
            <w:pPr>
              <w:pStyle w:val="Maintext"/>
              <w:spacing w:line="280" w:lineRule="exact"/>
              <w:rPr>
                <w:sz w:val="22"/>
              </w:rPr>
            </w:pPr>
          </w:p>
        </w:tc>
      </w:tr>
      <w:tr w:rsidR="00F5619A" w:rsidRPr="00F67B91" w14:paraId="7F81901F" w14:textId="77777777" w:rsidTr="007E6A87">
        <w:trPr>
          <w:trHeight w:val="1117"/>
        </w:trPr>
        <w:tc>
          <w:tcPr>
            <w:tcW w:w="4820" w:type="dxa"/>
          </w:tcPr>
          <w:p w14:paraId="2C7AD18F" w14:textId="77777777" w:rsidR="00F5619A" w:rsidRPr="00F67B91" w:rsidRDefault="00F5619A" w:rsidP="00F5619A">
            <w:pPr>
              <w:pStyle w:val="Maintext"/>
              <w:numPr>
                <w:ilvl w:val="0"/>
                <w:numId w:val="2"/>
              </w:numPr>
              <w:rPr>
                <w:sz w:val="22"/>
              </w:rPr>
            </w:pPr>
            <w:r>
              <w:rPr>
                <w:sz w:val="22"/>
              </w:rPr>
              <w:t>an assessment of the effectiveness of an alternative dispute resolution procedure offered by the ADR entity and of possible ways of improving it s performance.</w:t>
            </w:r>
          </w:p>
        </w:tc>
        <w:tc>
          <w:tcPr>
            <w:tcW w:w="3969" w:type="dxa"/>
          </w:tcPr>
          <w:p w14:paraId="7EC62C2B" w14:textId="3E152B65" w:rsidR="00F5619A" w:rsidRPr="007E6A87" w:rsidRDefault="007E6A87" w:rsidP="007E6A87">
            <w:pPr>
              <w:pStyle w:val="Maintext"/>
              <w:spacing w:line="240" w:lineRule="auto"/>
              <w:rPr>
                <w:sz w:val="28"/>
                <w:szCs w:val="28"/>
              </w:rPr>
            </w:pPr>
            <w:permStart w:id="607269451" w:edGrp="everyone"/>
            <w:r>
              <w:rPr>
                <w:sz w:val="28"/>
                <w:szCs w:val="28"/>
              </w:rPr>
              <w:t xml:space="preserve">  </w:t>
            </w:r>
            <w:r w:rsidR="00BA2920">
              <w:rPr>
                <w:sz w:val="28"/>
                <w:szCs w:val="28"/>
              </w:rPr>
              <w:t xml:space="preserve">The procedure is effective but </w:t>
            </w:r>
            <w:r w:rsidR="003B6FAA">
              <w:rPr>
                <w:sz w:val="28"/>
                <w:szCs w:val="28"/>
              </w:rPr>
              <w:t>operators use alternative ADR providers.</w:t>
            </w:r>
            <w:r>
              <w:rPr>
                <w:sz w:val="28"/>
                <w:szCs w:val="28"/>
              </w:rPr>
              <w:t xml:space="preserve">    </w:t>
            </w:r>
            <w:permEnd w:id="607269451"/>
          </w:p>
        </w:tc>
        <w:tc>
          <w:tcPr>
            <w:tcW w:w="1377" w:type="dxa"/>
          </w:tcPr>
          <w:p w14:paraId="139969EE" w14:textId="77777777" w:rsidR="00F5619A" w:rsidRPr="00F67B91" w:rsidRDefault="00F5619A" w:rsidP="003B0E35">
            <w:pPr>
              <w:pStyle w:val="Maintext"/>
              <w:spacing w:line="280" w:lineRule="exact"/>
              <w:rPr>
                <w:sz w:val="22"/>
              </w:rPr>
            </w:pPr>
          </w:p>
        </w:tc>
      </w:tr>
    </w:tbl>
    <w:p w14:paraId="49CCF860" w14:textId="77777777" w:rsidR="00BB5848" w:rsidRDefault="00BB5848" w:rsidP="00F5619A">
      <w:pPr>
        <w:pStyle w:val="paragraph"/>
        <w:textAlignment w:val="baseline"/>
      </w:pPr>
    </w:p>
    <w:sectPr w:rsidR="00BB5848" w:rsidSect="006C5084">
      <w:headerReference w:type="default" r:id="rId14"/>
      <w:footerReference w:type="default" r:id="rId15"/>
      <w:pgSz w:w="11906" w:h="16838"/>
      <w:pgMar w:top="1" w:right="84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5B10" w14:textId="77777777" w:rsidR="00B40F0B" w:rsidRDefault="00B40F0B">
      <w:pPr>
        <w:spacing w:after="0" w:line="240" w:lineRule="auto"/>
      </w:pPr>
      <w:r>
        <w:separator/>
      </w:r>
    </w:p>
  </w:endnote>
  <w:endnote w:type="continuationSeparator" w:id="0">
    <w:p w14:paraId="358517A3" w14:textId="77777777" w:rsidR="00B40F0B" w:rsidRDefault="00B4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283717"/>
      <w:docPartObj>
        <w:docPartGallery w:val="Page Numbers (Bottom of Page)"/>
        <w:docPartUnique/>
      </w:docPartObj>
    </w:sdtPr>
    <w:sdtEndPr>
      <w:rPr>
        <w:noProof/>
      </w:rPr>
    </w:sdtEndPr>
    <w:sdtContent>
      <w:p w14:paraId="0A35FD96" w14:textId="77777777" w:rsidR="00000000" w:rsidRDefault="003275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E179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BB37" w14:textId="77777777" w:rsidR="00B40F0B" w:rsidRDefault="00B40F0B">
      <w:pPr>
        <w:spacing w:after="0" w:line="240" w:lineRule="auto"/>
      </w:pPr>
      <w:r>
        <w:separator/>
      </w:r>
    </w:p>
  </w:footnote>
  <w:footnote w:type="continuationSeparator" w:id="0">
    <w:p w14:paraId="49A319A4" w14:textId="77777777" w:rsidR="00B40F0B" w:rsidRDefault="00B40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AF55" w14:textId="16AE24E1" w:rsidR="00000000" w:rsidRPr="00584555" w:rsidRDefault="003275A6">
    <w:pPr>
      <w:pStyle w:val="Header"/>
      <w:rPr>
        <w:i/>
      </w:rPr>
    </w:pPr>
    <w:r w:rsidRPr="00584555">
      <w:rPr>
        <w:i/>
      </w:rPr>
      <w:t>ADR Provider</w:t>
    </w:r>
    <w:r w:rsidR="00F5619A">
      <w:rPr>
        <w:i/>
      </w:rPr>
      <w:t xml:space="preserve"> Biennial</w:t>
    </w:r>
    <w:r w:rsidRPr="00584555">
      <w:rPr>
        <w:i/>
      </w:rPr>
      <w:t xml:space="preserve"> report</w:t>
    </w:r>
  </w:p>
  <w:p w14:paraId="42BA33D5"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0569A"/>
    <w:multiLevelType w:val="hybridMultilevel"/>
    <w:tmpl w:val="79A04C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AC00F56"/>
    <w:multiLevelType w:val="hybridMultilevel"/>
    <w:tmpl w:val="FA1CC15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1880044">
    <w:abstractNumId w:val="0"/>
  </w:num>
  <w:num w:numId="2" w16cid:durableId="172984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ocumentProtection w:edit="readOnly" w:enforcement="1" w:cryptProviderType="rsaAES" w:cryptAlgorithmClass="hash" w:cryptAlgorithmType="typeAny" w:cryptAlgorithmSid="14" w:cryptSpinCount="100000" w:hash="7sZRc02qacGh60wRQv2EMDJKNKO/aYlGuWjLs3CvAApb6+qrwp6G0Mr7+6t/dfNhYqbDxj3+RrWLfKzJd4uKYQ==" w:salt="ZwqFkr0xPg3XinDK8sq8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A6"/>
    <w:rsid w:val="000B0E5D"/>
    <w:rsid w:val="001A690F"/>
    <w:rsid w:val="002C487A"/>
    <w:rsid w:val="002F39AE"/>
    <w:rsid w:val="00317E97"/>
    <w:rsid w:val="003275A6"/>
    <w:rsid w:val="003B6FAA"/>
    <w:rsid w:val="004B6AFE"/>
    <w:rsid w:val="005B0C8B"/>
    <w:rsid w:val="00684D89"/>
    <w:rsid w:val="0070724D"/>
    <w:rsid w:val="00791109"/>
    <w:rsid w:val="007B70DC"/>
    <w:rsid w:val="007E6A87"/>
    <w:rsid w:val="008B144B"/>
    <w:rsid w:val="00A24334"/>
    <w:rsid w:val="00AE7322"/>
    <w:rsid w:val="00B40F0B"/>
    <w:rsid w:val="00BA2920"/>
    <w:rsid w:val="00BB5848"/>
    <w:rsid w:val="00C71E34"/>
    <w:rsid w:val="00CF4998"/>
    <w:rsid w:val="00D65E09"/>
    <w:rsid w:val="00DA5651"/>
    <w:rsid w:val="00E52EEF"/>
    <w:rsid w:val="00E8667C"/>
    <w:rsid w:val="00E94A77"/>
    <w:rsid w:val="00F56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921F"/>
  <w15:chartTrackingRefBased/>
  <w15:docId w15:val="{E321875A-130F-4526-AA41-FD44330E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rsid w:val="003275A6"/>
    <w:pPr>
      <w:spacing w:after="0" w:line="240" w:lineRule="exact"/>
    </w:pPr>
    <w:rPr>
      <w:rFonts w:ascii="Arial" w:eastAsia="Times" w:hAnsi="Arial" w:cs="Times New Roman"/>
      <w:sz w:val="20"/>
      <w:szCs w:val="20"/>
    </w:rPr>
  </w:style>
  <w:style w:type="character" w:styleId="Hyperlink">
    <w:name w:val="Hyperlink"/>
    <w:basedOn w:val="DefaultParagraphFont"/>
    <w:unhideWhenUsed/>
    <w:rsid w:val="003275A6"/>
    <w:rPr>
      <w:color w:val="0563C1" w:themeColor="hyperlink"/>
      <w:u w:val="single"/>
    </w:rPr>
  </w:style>
  <w:style w:type="table" w:styleId="TableGrid">
    <w:name w:val="Table Grid"/>
    <w:basedOn w:val="TableNormal"/>
    <w:rsid w:val="003275A6"/>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275A6"/>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3275A6"/>
  </w:style>
  <w:style w:type="character" w:customStyle="1" w:styleId="contextualspellingandgrammarerror">
    <w:name w:val="contextualspellingandgrammarerror"/>
    <w:basedOn w:val="DefaultParagraphFont"/>
    <w:rsid w:val="003275A6"/>
  </w:style>
  <w:style w:type="character" w:customStyle="1" w:styleId="normaltextrun1">
    <w:name w:val="normaltextrun1"/>
    <w:basedOn w:val="DefaultParagraphFont"/>
    <w:rsid w:val="003275A6"/>
  </w:style>
  <w:style w:type="character" w:customStyle="1" w:styleId="eop">
    <w:name w:val="eop"/>
    <w:basedOn w:val="DefaultParagraphFont"/>
    <w:rsid w:val="003275A6"/>
  </w:style>
  <w:style w:type="paragraph" w:styleId="Header">
    <w:name w:val="header"/>
    <w:basedOn w:val="Normal"/>
    <w:link w:val="HeaderChar"/>
    <w:uiPriority w:val="99"/>
    <w:unhideWhenUsed/>
    <w:rsid w:val="00327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5A6"/>
  </w:style>
  <w:style w:type="paragraph" w:styleId="Footer">
    <w:name w:val="footer"/>
    <w:basedOn w:val="Normal"/>
    <w:link w:val="FooterChar"/>
    <w:uiPriority w:val="99"/>
    <w:unhideWhenUsed/>
    <w:rsid w:val="00327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5A6"/>
  </w:style>
  <w:style w:type="character" w:styleId="FollowedHyperlink">
    <w:name w:val="FollowedHyperlink"/>
    <w:basedOn w:val="DefaultParagraphFont"/>
    <w:uiPriority w:val="99"/>
    <w:semiHidden/>
    <w:unhideWhenUsed/>
    <w:rsid w:val="003275A6"/>
    <w:rPr>
      <w:color w:val="954F72" w:themeColor="followedHyperlink"/>
      <w:u w:val="single"/>
    </w:rPr>
  </w:style>
  <w:style w:type="paragraph" w:styleId="BalloonText">
    <w:name w:val="Balloon Text"/>
    <w:basedOn w:val="Normal"/>
    <w:link w:val="BalloonTextChar"/>
    <w:uiPriority w:val="99"/>
    <w:semiHidden/>
    <w:unhideWhenUsed/>
    <w:rsid w:val="00CF4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CatchAll xmlns="dcd4d639-de5a-4bad-aded-2c25c5bf9fca">
      <Value>514</Value>
    </TaxCatchAll>
    <TaxKeywordTaxHTField xmlns="dcd4d639-de5a-4bad-aded-2c25c5bf9fca">
      <Terms xmlns="http://schemas.microsoft.com/office/infopath/2007/PartnerControls"/>
    </TaxKeywordTaxHTField>
    <n300bd280aac47c8b25aa7458bf0f8c4 xmlns="dcd4d639-de5a-4bad-aded-2c25c5bf9fca">
      <Terms xmlns="http://schemas.microsoft.com/office/infopath/2007/PartnerControls"/>
    </n300bd280aac47c8b25aa7458bf0f8c4>
    <Security_x0020_Classification xmlns="dcd4d639-de5a-4bad-aded-2c25c5bf9fca">Official</Security_x0020_Classification>
    <RoutingRule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mpliance Document" ma:contentTypeID="0x010100943D46E95D4A1B4FBA60C8AEF611E21902050B00306E3A5C474F684A93CC7CF401EB2107" ma:contentTypeVersion="3" ma:contentTypeDescription="The default Compliance Library Content Type" ma:contentTypeScope="" ma:versionID="547eab8be33384fcd7dc7a3870406bcf">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e23b8c56e44fb27340e419b036580c37"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97c85119-18d9-41e7-8c9c-94d8ffdc55dc" ContentTypeId="0x010100943D46E95D4A1B4FBA60C8AEF611E21902050B"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72A93-180C-4554-AC46-737CD8BD5717}">
  <ds:schemaRefs>
    <ds:schemaRef ds:uri="http://schemas.microsoft.com/office/2006/metadata/properties"/>
    <ds:schemaRef ds:uri="http://www.w3.org/2000/xmlns/"/>
    <ds:schemaRef ds:uri="dcd4d639-de5a-4bad-aded-2c25c5bf9fca"/>
    <ds:schemaRef ds:uri="http://schemas.microsoft.com/office/infopath/2007/PartnerControls"/>
    <ds:schemaRef ds:uri="http://schemas.microsoft.com/sharepoint/v3"/>
    <ds:schemaRef ds:uri="http://www.w3.org/2001/XMLSchema-instance"/>
  </ds:schemaRefs>
</ds:datastoreItem>
</file>

<file path=customXml/itemProps2.xml><?xml version="1.0" encoding="utf-8"?>
<ds:datastoreItem xmlns:ds="http://schemas.openxmlformats.org/officeDocument/2006/customXml" ds:itemID="{E241B91A-412E-4A09-B08F-3640C0A6AAAD}">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dcd4d639-de5a-4bad-aded-2c25c5bf9fca"/>
  </ds:schemaRefs>
</ds:datastoreItem>
</file>

<file path=customXml/itemProps3.xml><?xml version="1.0" encoding="utf-8"?>
<ds:datastoreItem xmlns:ds="http://schemas.openxmlformats.org/officeDocument/2006/customXml" ds:itemID="{F591AFA2-EE2D-40CD-A164-986B86F3C6FB}">
  <ds:schemaRefs>
    <ds:schemaRef ds:uri="http://schemas.microsoft.com/office/2006/metadata/customXsn"/>
  </ds:schemaRefs>
</ds:datastoreItem>
</file>

<file path=customXml/itemProps4.xml><?xml version="1.0" encoding="utf-8"?>
<ds:datastoreItem xmlns:ds="http://schemas.openxmlformats.org/officeDocument/2006/customXml" ds:itemID="{8F92545A-D1D6-4865-83A2-AFE6E58AC168}">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A5DF3A08-D246-4233-85B9-691317A911F1}">
  <ds:schemaRefs>
    <ds:schemaRef ds:uri="Microsoft.SharePoint.Taxonomy.ContentTypeSync"/>
  </ds:schemaRefs>
</ds:datastoreItem>
</file>

<file path=customXml/itemProps6.xml><?xml version="1.0" encoding="utf-8"?>
<ds:datastoreItem xmlns:ds="http://schemas.openxmlformats.org/officeDocument/2006/customXml" ds:itemID="{F5FF53BE-0A67-4349-85F8-673F2E6EFC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310</Words>
  <Characters>1772</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Lippiatt</dc:creator>
  <cp:keywords/>
  <dc:description/>
  <cp:lastModifiedBy>Peter Causton</cp:lastModifiedBy>
  <cp:revision>15</cp:revision>
  <dcterms:created xsi:type="dcterms:W3CDTF">2023-10-16T10:10:00Z</dcterms:created>
  <dcterms:modified xsi:type="dcterms:W3CDTF">2023-10-16T10:29:00Z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
  </property>
  <property fmtid="{D5CDD505-2E9C-101B-9397-08002B2CF9AE}" pid="4" name="Related Functions">
    <vt:lpwstr/>
  </property>
  <property fmtid="{D5CDD505-2E9C-101B-9397-08002B2CF9AE}" pid="5" name="ContentTypeId">
    <vt:lpwstr>0x010100943D46E95D4A1B4FBA60C8AEF611E21902050B00306E3A5C474F684A93CC7CF401EB2107</vt:lpwstr>
  </property>
  <property fmtid="{D5CDD505-2E9C-101B-9397-08002B2CF9AE}" pid="6" name="Stakeholder">
    <vt:lpwstr/>
  </property>
  <property fmtid="{D5CDD505-2E9C-101B-9397-08002B2CF9AE}" pid="7" name="ItemRetentionFormula">
    <vt:lpwstr/>
  </property>
  <property fmtid="{D5CDD505-2E9C-101B-9397-08002B2CF9AE}" pid="8" name="Function">
    <vt:lpwstr>514;#Compliance|593628c4-e788-48f5-a895-7687fc720f91</vt:lpwstr>
  </property>
  <property fmtid="{D5CDD505-2E9C-101B-9397-08002B2CF9AE}" pid="9" name="ca506676becf4cdbb613025592e6b965">
    <vt:lpwstr/>
  </property>
  <property fmtid="{D5CDD505-2E9C-101B-9397-08002B2CF9AE}" pid="10" name="Operator">
    <vt:lpwstr/>
  </property>
  <property fmtid="{D5CDD505-2E9C-101B-9397-08002B2CF9AE}" pid="11" name="j67390757fa349cbaf93204f5bf3176a">
    <vt:lpwstr/>
  </property>
  <property fmtid="{D5CDD505-2E9C-101B-9397-08002B2CF9AE}" pid="12" name="AuthorIds_UIVersion_2">
    <vt:lpwstr>165</vt:lpwstr>
  </property>
</Properties>
</file>