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497EC" w14:textId="77777777" w:rsidR="002B743A" w:rsidRDefault="002B743A">
      <w:pPr>
        <w:pStyle w:val="Maintext"/>
        <w:spacing w:line="280" w:lineRule="exact"/>
        <w:rPr>
          <w:sz w:val="22"/>
        </w:rPr>
      </w:pPr>
    </w:p>
    <w:p w14:paraId="03751161" w14:textId="77777777" w:rsidR="002B743A" w:rsidRDefault="002B743A">
      <w:pPr>
        <w:pStyle w:val="Maintext"/>
        <w:spacing w:line="280" w:lineRule="exact"/>
        <w:rPr>
          <w:sz w:val="22"/>
        </w:rPr>
      </w:pPr>
    </w:p>
    <w:p w14:paraId="3D286525" w14:textId="77777777" w:rsidR="002B743A" w:rsidRPr="00BD1B58" w:rsidRDefault="00F67B91" w:rsidP="00C943BD">
      <w:pPr>
        <w:pStyle w:val="Maintext"/>
        <w:spacing w:line="240" w:lineRule="auto"/>
        <w:rPr>
          <w:b/>
          <w:bCs/>
          <w:sz w:val="48"/>
          <w:szCs w:val="48"/>
        </w:rPr>
      </w:pPr>
      <w:r>
        <w:rPr>
          <w:b/>
          <w:bCs/>
          <w:sz w:val="48"/>
          <w:szCs w:val="48"/>
        </w:rPr>
        <w:t>ADR Entity Reporting - Annual Report</w:t>
      </w:r>
    </w:p>
    <w:p w14:paraId="51BD0B0A" w14:textId="77777777" w:rsidR="00C943BD" w:rsidRPr="00BD1B58" w:rsidRDefault="00C943BD" w:rsidP="00C943BD">
      <w:pPr>
        <w:pStyle w:val="Maintext"/>
        <w:spacing w:line="240" w:lineRule="auto"/>
        <w:rPr>
          <w:sz w:val="22"/>
          <w:szCs w:val="22"/>
        </w:rPr>
      </w:pPr>
    </w:p>
    <w:p w14:paraId="5C5D6D3A" w14:textId="3BA478A9" w:rsidR="00C943BD" w:rsidRPr="00BD1B58" w:rsidRDefault="00F67B91" w:rsidP="00C943BD">
      <w:pPr>
        <w:pStyle w:val="Maintext"/>
        <w:spacing w:line="240" w:lineRule="auto"/>
        <w:rPr>
          <w:sz w:val="28"/>
          <w:szCs w:val="28"/>
        </w:rPr>
      </w:pPr>
      <w:r>
        <w:rPr>
          <w:sz w:val="28"/>
          <w:szCs w:val="28"/>
        </w:rPr>
        <w:t>Reporting period 1 October 201</w:t>
      </w:r>
      <w:r w:rsidR="002C438B">
        <w:rPr>
          <w:sz w:val="28"/>
          <w:szCs w:val="28"/>
        </w:rPr>
        <w:t>9</w:t>
      </w:r>
      <w:r>
        <w:rPr>
          <w:sz w:val="28"/>
          <w:szCs w:val="28"/>
        </w:rPr>
        <w:t xml:space="preserve"> – 30 September 20</w:t>
      </w:r>
      <w:r w:rsidR="002C438B">
        <w:rPr>
          <w:sz w:val="28"/>
          <w:szCs w:val="28"/>
        </w:rPr>
        <w:t>20</w:t>
      </w:r>
    </w:p>
    <w:p w14:paraId="073427CF" w14:textId="77777777" w:rsidR="002B743A" w:rsidRDefault="002B743A">
      <w:pPr>
        <w:pStyle w:val="Maintext"/>
        <w:spacing w:line="280" w:lineRule="exact"/>
        <w:rPr>
          <w:sz w:val="22"/>
        </w:rPr>
      </w:pPr>
    </w:p>
    <w:p w14:paraId="76E7EC97" w14:textId="371B35E3" w:rsidR="00C943BD" w:rsidRPr="00BD1B58" w:rsidRDefault="003351A9">
      <w:pPr>
        <w:pStyle w:val="Maintext"/>
        <w:spacing w:line="280" w:lineRule="exact"/>
        <w:rPr>
          <w:sz w:val="22"/>
          <w:szCs w:val="22"/>
        </w:rPr>
      </w:pPr>
      <w:r>
        <w:rPr>
          <w:sz w:val="22"/>
          <w:szCs w:val="22"/>
        </w:rPr>
        <w:t>ProMediate (UK) Limited</w:t>
      </w:r>
    </w:p>
    <w:p w14:paraId="3A6C4621" w14:textId="77777777" w:rsidR="00C943BD" w:rsidRDefault="00C943BD" w:rsidP="00C943BD">
      <w:pPr>
        <w:pStyle w:val="Maintext"/>
        <w:spacing w:line="280" w:lineRule="exact"/>
        <w:rPr>
          <w:sz w:val="22"/>
        </w:rPr>
      </w:pPr>
    </w:p>
    <w:p w14:paraId="14A8323D" w14:textId="77777777" w:rsidR="00F67B91" w:rsidRPr="00F67B91" w:rsidRDefault="00F67B91" w:rsidP="00F67B91">
      <w:pPr>
        <w:pStyle w:val="Maintext"/>
        <w:spacing w:line="280" w:lineRule="exact"/>
        <w:rPr>
          <w:sz w:val="22"/>
        </w:rPr>
      </w:pPr>
      <w:r w:rsidRPr="00F67B91">
        <w:rPr>
          <w:sz w:val="22"/>
        </w:rPr>
        <w:t>.</w:t>
      </w:r>
    </w:p>
    <w:tbl>
      <w:tblPr>
        <w:tblStyle w:val="TableGrid"/>
        <w:tblW w:w="9180" w:type="dxa"/>
        <w:tblLook w:val="04A0" w:firstRow="1" w:lastRow="0" w:firstColumn="1" w:lastColumn="0" w:noHBand="0" w:noVBand="1"/>
      </w:tblPr>
      <w:tblGrid>
        <w:gridCol w:w="4928"/>
        <w:gridCol w:w="4252"/>
      </w:tblGrid>
      <w:tr w:rsidR="007C4A2F" w:rsidRPr="00F67B91" w14:paraId="46637E52" w14:textId="77777777" w:rsidTr="007C4A2F">
        <w:tc>
          <w:tcPr>
            <w:tcW w:w="4928" w:type="dxa"/>
          </w:tcPr>
          <w:p w14:paraId="139BFDE4" w14:textId="77777777" w:rsidR="007C4A2F" w:rsidRPr="00F67B91" w:rsidRDefault="007C4A2F" w:rsidP="00F67B91">
            <w:pPr>
              <w:pStyle w:val="Maintext"/>
              <w:spacing w:line="280" w:lineRule="exact"/>
              <w:rPr>
                <w:b/>
                <w:sz w:val="22"/>
              </w:rPr>
            </w:pPr>
            <w:r w:rsidRPr="00F67B91">
              <w:rPr>
                <w:b/>
                <w:sz w:val="22"/>
              </w:rPr>
              <w:t>Information as specified in regulations</w:t>
            </w:r>
          </w:p>
        </w:tc>
        <w:tc>
          <w:tcPr>
            <w:tcW w:w="4252" w:type="dxa"/>
          </w:tcPr>
          <w:p w14:paraId="6267E25A" w14:textId="77777777" w:rsidR="007C4A2F" w:rsidRPr="00F67B91" w:rsidRDefault="007C4A2F" w:rsidP="007C4A2F">
            <w:pPr>
              <w:pStyle w:val="Maintext"/>
              <w:spacing w:line="280" w:lineRule="exact"/>
              <w:rPr>
                <w:b/>
                <w:sz w:val="22"/>
              </w:rPr>
            </w:pPr>
            <w:r>
              <w:rPr>
                <w:b/>
                <w:sz w:val="22"/>
              </w:rPr>
              <w:t>Basic guidance</w:t>
            </w:r>
          </w:p>
        </w:tc>
      </w:tr>
      <w:tr w:rsidR="007C4A2F" w:rsidRPr="00F67B91" w14:paraId="71CE1BA8" w14:textId="77777777" w:rsidTr="007C4A2F">
        <w:tc>
          <w:tcPr>
            <w:tcW w:w="4928" w:type="dxa"/>
          </w:tcPr>
          <w:p w14:paraId="71F1F1A5" w14:textId="77777777" w:rsidR="007C4A2F" w:rsidRPr="00F67B91" w:rsidRDefault="007C4A2F" w:rsidP="00F67B91">
            <w:pPr>
              <w:pStyle w:val="Maintext"/>
              <w:numPr>
                <w:ilvl w:val="0"/>
                <w:numId w:val="1"/>
              </w:numPr>
              <w:rPr>
                <w:sz w:val="22"/>
              </w:rPr>
            </w:pPr>
            <w:r w:rsidRPr="00F67B91">
              <w:rPr>
                <w:sz w:val="22"/>
              </w:rPr>
              <w:t>the number of domestic disputes and cross-border disputes the ADR entity has received;</w:t>
            </w:r>
          </w:p>
        </w:tc>
        <w:tc>
          <w:tcPr>
            <w:tcW w:w="4252" w:type="dxa"/>
          </w:tcPr>
          <w:p w14:paraId="4B52F7B8" w14:textId="34ECF91D" w:rsidR="007C4A2F" w:rsidRDefault="004C57E6" w:rsidP="006719AB">
            <w:pPr>
              <w:pStyle w:val="Maintext"/>
              <w:spacing w:line="280" w:lineRule="exact"/>
              <w:rPr>
                <w:sz w:val="22"/>
              </w:rPr>
            </w:pPr>
            <w:r>
              <w:rPr>
                <w:sz w:val="22"/>
              </w:rPr>
              <w:t>59</w:t>
            </w:r>
            <w:r w:rsidR="00772D21">
              <w:rPr>
                <w:sz w:val="22"/>
              </w:rPr>
              <w:t xml:space="preserve"> </w:t>
            </w:r>
            <w:r w:rsidR="00A73147">
              <w:rPr>
                <w:sz w:val="22"/>
              </w:rPr>
              <w:t>–</w:t>
            </w:r>
            <w:r w:rsidR="00AC0483">
              <w:rPr>
                <w:sz w:val="22"/>
              </w:rPr>
              <w:t xml:space="preserve"> </w:t>
            </w:r>
            <w:r w:rsidR="00A73147">
              <w:rPr>
                <w:sz w:val="22"/>
              </w:rPr>
              <w:t xml:space="preserve">9 </w:t>
            </w:r>
            <w:r w:rsidR="00133BAA">
              <w:rPr>
                <w:sz w:val="22"/>
              </w:rPr>
              <w:t xml:space="preserve">domestic </w:t>
            </w:r>
            <w:r w:rsidR="00A73147">
              <w:rPr>
                <w:sz w:val="22"/>
              </w:rPr>
              <w:t xml:space="preserve">50 </w:t>
            </w:r>
            <w:r w:rsidR="00112F9B">
              <w:rPr>
                <w:sz w:val="22"/>
              </w:rPr>
              <w:t>cross border</w:t>
            </w:r>
          </w:p>
          <w:p w14:paraId="69D02952" w14:textId="0587F1C6" w:rsidR="00133BAA" w:rsidRPr="00F67B91" w:rsidRDefault="00133BAA" w:rsidP="006719AB">
            <w:pPr>
              <w:pStyle w:val="Maintext"/>
              <w:spacing w:line="280" w:lineRule="exact"/>
              <w:rPr>
                <w:sz w:val="22"/>
              </w:rPr>
            </w:pPr>
          </w:p>
        </w:tc>
      </w:tr>
      <w:tr w:rsidR="007C4A2F" w:rsidRPr="00F67B91" w14:paraId="745BC23F" w14:textId="77777777" w:rsidTr="007C4A2F">
        <w:tc>
          <w:tcPr>
            <w:tcW w:w="4928" w:type="dxa"/>
          </w:tcPr>
          <w:p w14:paraId="0B07F951" w14:textId="77777777" w:rsidR="007C4A2F" w:rsidRPr="00F67B91" w:rsidRDefault="007C4A2F" w:rsidP="00F67B91">
            <w:pPr>
              <w:pStyle w:val="Maintext"/>
              <w:numPr>
                <w:ilvl w:val="0"/>
                <w:numId w:val="1"/>
              </w:numPr>
              <w:rPr>
                <w:sz w:val="22"/>
              </w:rPr>
            </w:pPr>
            <w:r w:rsidRPr="00F67B91">
              <w:rPr>
                <w:sz w:val="22"/>
              </w:rPr>
              <w:t>the types of complaints to which the domestic disputes and cross-border disputes relate;</w:t>
            </w:r>
          </w:p>
        </w:tc>
        <w:tc>
          <w:tcPr>
            <w:tcW w:w="4252" w:type="dxa"/>
          </w:tcPr>
          <w:p w14:paraId="243066B6" w14:textId="0E8ED751" w:rsidR="007C4A2F" w:rsidRDefault="004B2D87" w:rsidP="00F67B91">
            <w:pPr>
              <w:pStyle w:val="Maintext"/>
              <w:spacing w:line="280" w:lineRule="exact"/>
              <w:rPr>
                <w:sz w:val="22"/>
              </w:rPr>
            </w:pPr>
            <w:r>
              <w:rPr>
                <w:sz w:val="22"/>
              </w:rPr>
              <w:t>1.</w:t>
            </w:r>
            <w:r w:rsidR="00207C38">
              <w:rPr>
                <w:sz w:val="22"/>
              </w:rPr>
              <w:t xml:space="preserve">account closure following syndication </w:t>
            </w:r>
            <w:r w:rsidR="003E1E7F">
              <w:rPr>
                <w:sz w:val="22"/>
              </w:rPr>
              <w:t xml:space="preserve">or duplicated ip addresses or multiple accounting </w:t>
            </w:r>
            <w:r w:rsidR="00207C38">
              <w:rPr>
                <w:sz w:val="22"/>
              </w:rPr>
              <w:t>in breach of terms</w:t>
            </w:r>
          </w:p>
          <w:p w14:paraId="3BCC441C" w14:textId="7F270D73" w:rsidR="00207C38" w:rsidRDefault="004B2D87" w:rsidP="00F67B91">
            <w:pPr>
              <w:pStyle w:val="Maintext"/>
              <w:spacing w:line="280" w:lineRule="exact"/>
              <w:rPr>
                <w:sz w:val="22"/>
              </w:rPr>
            </w:pPr>
            <w:r>
              <w:rPr>
                <w:sz w:val="22"/>
              </w:rPr>
              <w:t xml:space="preserve">2. </w:t>
            </w:r>
            <w:r w:rsidR="00207C38">
              <w:rPr>
                <w:sz w:val="22"/>
              </w:rPr>
              <w:t>verification of identity closure of account</w:t>
            </w:r>
          </w:p>
          <w:p w14:paraId="393BC120" w14:textId="4C215650" w:rsidR="0009480D" w:rsidRDefault="004B2D87" w:rsidP="00F67B91">
            <w:pPr>
              <w:pStyle w:val="Maintext"/>
              <w:spacing w:line="280" w:lineRule="exact"/>
              <w:rPr>
                <w:sz w:val="22"/>
              </w:rPr>
            </w:pPr>
            <w:r>
              <w:rPr>
                <w:sz w:val="22"/>
              </w:rPr>
              <w:t>3.</w:t>
            </w:r>
            <w:r w:rsidR="0009480D">
              <w:rPr>
                <w:sz w:val="22"/>
              </w:rPr>
              <w:t>self exclusion</w:t>
            </w:r>
          </w:p>
          <w:p w14:paraId="4BF44083" w14:textId="2DC968EE" w:rsidR="00F77BC5" w:rsidRPr="00F67B91" w:rsidRDefault="004B2D87" w:rsidP="00F67B91">
            <w:pPr>
              <w:pStyle w:val="Maintext"/>
              <w:spacing w:line="280" w:lineRule="exact"/>
              <w:rPr>
                <w:sz w:val="22"/>
              </w:rPr>
            </w:pPr>
            <w:r>
              <w:rPr>
                <w:sz w:val="22"/>
              </w:rPr>
              <w:t>4.</w:t>
            </w:r>
            <w:r w:rsidR="004C460D">
              <w:rPr>
                <w:sz w:val="22"/>
              </w:rPr>
              <w:t xml:space="preserve">entitlement to </w:t>
            </w:r>
            <w:r w:rsidR="00AE425C">
              <w:rPr>
                <w:sz w:val="22"/>
              </w:rPr>
              <w:t xml:space="preserve">withdraw winnings and/or deposit and </w:t>
            </w:r>
            <w:r w:rsidR="008B25E5">
              <w:rPr>
                <w:sz w:val="22"/>
              </w:rPr>
              <w:t xml:space="preserve">promotions </w:t>
            </w:r>
          </w:p>
        </w:tc>
      </w:tr>
      <w:tr w:rsidR="007C4A2F" w:rsidRPr="00F67B91" w14:paraId="16333726" w14:textId="77777777" w:rsidTr="007C4A2F">
        <w:tc>
          <w:tcPr>
            <w:tcW w:w="4928" w:type="dxa"/>
          </w:tcPr>
          <w:p w14:paraId="7F37D0DC" w14:textId="77777777" w:rsidR="007C4A2F" w:rsidRPr="00F67B91" w:rsidRDefault="007C4A2F" w:rsidP="00F67B91">
            <w:pPr>
              <w:pStyle w:val="Maintext"/>
              <w:numPr>
                <w:ilvl w:val="0"/>
                <w:numId w:val="1"/>
              </w:numPr>
              <w:rPr>
                <w:sz w:val="22"/>
              </w:rPr>
            </w:pPr>
            <w:r w:rsidRPr="00F67B91">
              <w:rPr>
                <w:sz w:val="22"/>
              </w:rPr>
              <w:t>a description of any systematic or significant problems that occur frequently and lead to disputes between consumers and traders of which the ADR entity has become aware due to its operations as an ADR entity;</w:t>
            </w:r>
          </w:p>
        </w:tc>
        <w:tc>
          <w:tcPr>
            <w:tcW w:w="4252" w:type="dxa"/>
          </w:tcPr>
          <w:p w14:paraId="1B54905E" w14:textId="67BC4FE6" w:rsidR="007C4A2F" w:rsidRPr="00F67B91" w:rsidRDefault="008B25E5" w:rsidP="00F67B91">
            <w:pPr>
              <w:pStyle w:val="Maintext"/>
              <w:spacing w:line="280" w:lineRule="exact"/>
              <w:rPr>
                <w:sz w:val="22"/>
              </w:rPr>
            </w:pPr>
            <w:r>
              <w:rPr>
                <w:sz w:val="22"/>
              </w:rPr>
              <w:t xml:space="preserve">We are ADR provider to remote operators. </w:t>
            </w:r>
            <w:r w:rsidR="007465BE">
              <w:rPr>
                <w:sz w:val="22"/>
              </w:rPr>
              <w:t>The majority of complaints concern</w:t>
            </w:r>
            <w:r w:rsidR="00766627">
              <w:rPr>
                <w:sz w:val="22"/>
              </w:rPr>
              <w:t xml:space="preserve"> the return of deposits or payment of winnings </w:t>
            </w:r>
            <w:r w:rsidR="005860EC">
              <w:rPr>
                <w:sz w:val="22"/>
              </w:rPr>
              <w:t xml:space="preserve">from winnings </w:t>
            </w:r>
            <w:r w:rsidR="00DF24DB">
              <w:rPr>
                <w:sz w:val="22"/>
              </w:rPr>
              <w:t xml:space="preserve">following a breach of verification checks or </w:t>
            </w:r>
            <w:r w:rsidR="00AA1F00">
              <w:rPr>
                <w:sz w:val="22"/>
              </w:rPr>
              <w:t xml:space="preserve">syndication </w:t>
            </w:r>
            <w:r w:rsidR="005860EC">
              <w:rPr>
                <w:sz w:val="22"/>
              </w:rPr>
              <w:t xml:space="preserve">breaches of terms and conditions or terms of promotions. </w:t>
            </w:r>
          </w:p>
        </w:tc>
      </w:tr>
      <w:tr w:rsidR="007C4A2F" w:rsidRPr="00F67B91" w14:paraId="63852B9D" w14:textId="77777777" w:rsidTr="007C4A2F">
        <w:tc>
          <w:tcPr>
            <w:tcW w:w="4928" w:type="dxa"/>
          </w:tcPr>
          <w:p w14:paraId="45D76DD8" w14:textId="77777777" w:rsidR="007C4A2F" w:rsidRPr="00F67B91" w:rsidRDefault="007C4A2F" w:rsidP="00F67B91">
            <w:pPr>
              <w:pStyle w:val="Maintext"/>
              <w:numPr>
                <w:ilvl w:val="0"/>
                <w:numId w:val="1"/>
              </w:numPr>
              <w:rPr>
                <w:sz w:val="22"/>
              </w:rPr>
            </w:pPr>
            <w:r w:rsidRPr="00F67B91">
              <w:rPr>
                <w:sz w:val="22"/>
              </w:rPr>
              <w:t>any recommendations the ADR entity may have as to how the problems referred to in paragraph (c) could be avoided or resolved in future, in order to raise traders’ standards and to facilitate the exchange of information and best practices;</w:t>
            </w:r>
          </w:p>
        </w:tc>
        <w:tc>
          <w:tcPr>
            <w:tcW w:w="4252" w:type="dxa"/>
          </w:tcPr>
          <w:p w14:paraId="749DC46B" w14:textId="26D587B1" w:rsidR="007C4A2F" w:rsidRPr="00F67B91" w:rsidRDefault="000242F4" w:rsidP="00F67B91">
            <w:pPr>
              <w:pStyle w:val="Maintext"/>
              <w:spacing w:line="280" w:lineRule="exact"/>
              <w:rPr>
                <w:sz w:val="22"/>
              </w:rPr>
            </w:pPr>
            <w:r>
              <w:rPr>
                <w:sz w:val="22"/>
              </w:rPr>
              <w:t xml:space="preserve">Verification checks could be completed </w:t>
            </w:r>
            <w:r w:rsidR="004203B3">
              <w:rPr>
                <w:sz w:val="22"/>
              </w:rPr>
              <w:t>before deposits paid. Bonus payments</w:t>
            </w:r>
            <w:r w:rsidR="00F834F6">
              <w:rPr>
                <w:sz w:val="22"/>
              </w:rPr>
              <w:t xml:space="preserve"> or winnings</w:t>
            </w:r>
            <w:r w:rsidR="004203B3">
              <w:rPr>
                <w:sz w:val="22"/>
              </w:rPr>
              <w:t xml:space="preserve"> should </w:t>
            </w:r>
            <w:r w:rsidR="00856B04">
              <w:rPr>
                <w:sz w:val="22"/>
              </w:rPr>
              <w:t>not necessarily be dependent on wagering a deposit.</w:t>
            </w:r>
          </w:p>
        </w:tc>
      </w:tr>
      <w:tr w:rsidR="007C4A2F" w:rsidRPr="00F67B91" w14:paraId="6DC26BA3" w14:textId="77777777" w:rsidTr="007C4A2F">
        <w:tc>
          <w:tcPr>
            <w:tcW w:w="4928" w:type="dxa"/>
          </w:tcPr>
          <w:p w14:paraId="06E711DC" w14:textId="77777777" w:rsidR="007C4A2F" w:rsidRPr="00F67B91" w:rsidRDefault="007C4A2F" w:rsidP="00F67B91">
            <w:pPr>
              <w:pStyle w:val="Maintext"/>
              <w:numPr>
                <w:ilvl w:val="0"/>
                <w:numId w:val="1"/>
              </w:numPr>
              <w:rPr>
                <w:sz w:val="22"/>
              </w:rPr>
            </w:pPr>
            <w:r w:rsidRPr="00F67B91">
              <w:rPr>
                <w:sz w:val="22"/>
              </w:rPr>
              <w:t>the number of disputes which the ADR entity has refused to deal with, and percentage share of the grounds set out in paragraph 13 of Schedule 3 on which the ADR entity has declined to consider such disputes;</w:t>
            </w:r>
          </w:p>
        </w:tc>
        <w:tc>
          <w:tcPr>
            <w:tcW w:w="4252" w:type="dxa"/>
          </w:tcPr>
          <w:p w14:paraId="69A4E702" w14:textId="5053482D" w:rsidR="007C4A2F" w:rsidRPr="00F67B91" w:rsidRDefault="00F834F6" w:rsidP="006E0677">
            <w:pPr>
              <w:pStyle w:val="Maintext"/>
              <w:rPr>
                <w:sz w:val="22"/>
              </w:rPr>
            </w:pPr>
            <w:r>
              <w:rPr>
                <w:sz w:val="22"/>
              </w:rPr>
              <w:t>We have not refused to deal with any disputes.</w:t>
            </w:r>
          </w:p>
          <w:p w14:paraId="4F6AFF6E" w14:textId="134BC321" w:rsidR="00940513" w:rsidRDefault="007C4A2F" w:rsidP="00F67B91">
            <w:pPr>
              <w:pStyle w:val="Maintext"/>
              <w:numPr>
                <w:ilvl w:val="0"/>
                <w:numId w:val="2"/>
              </w:numPr>
              <w:rPr>
                <w:sz w:val="22"/>
              </w:rPr>
            </w:pPr>
            <w:r w:rsidRPr="00F67B91">
              <w:rPr>
                <w:sz w:val="22"/>
              </w:rPr>
              <w:t>Percentage split between the</w:t>
            </w:r>
            <w:r w:rsidR="00D51202">
              <w:rPr>
                <w:sz w:val="22"/>
              </w:rPr>
              <w:t xml:space="preserve"> 6 categories of grounds for refusal in para 13 Schedule 3</w:t>
            </w:r>
            <w:r w:rsidR="00696486">
              <w:rPr>
                <w:sz w:val="22"/>
              </w:rPr>
              <w:t xml:space="preserve"> </w:t>
            </w:r>
            <w:r w:rsidR="00F6598F">
              <w:rPr>
                <w:sz w:val="22"/>
              </w:rPr>
              <w:t>-</w:t>
            </w:r>
            <w:r w:rsidR="00696486">
              <w:rPr>
                <w:sz w:val="22"/>
              </w:rPr>
              <w:t>0%</w:t>
            </w:r>
          </w:p>
          <w:p w14:paraId="0129019C" w14:textId="77777777" w:rsidR="006E1F82" w:rsidRDefault="00940513" w:rsidP="00940513">
            <w:pPr>
              <w:pStyle w:val="Maintext"/>
              <w:numPr>
                <w:ilvl w:val="0"/>
                <w:numId w:val="2"/>
              </w:numPr>
              <w:rPr>
                <w:sz w:val="22"/>
              </w:rPr>
            </w:pPr>
            <w:r w:rsidRPr="00940513">
              <w:rPr>
                <w:sz w:val="22"/>
              </w:rPr>
              <w:t>Percentage not within ADR entity remit because of</w:t>
            </w:r>
          </w:p>
          <w:p w14:paraId="325FA32F" w14:textId="1D2F6C48" w:rsidR="00940513" w:rsidRDefault="00940513" w:rsidP="006E1F82">
            <w:pPr>
              <w:pStyle w:val="Maintext"/>
              <w:numPr>
                <w:ilvl w:val="0"/>
                <w:numId w:val="5"/>
              </w:numPr>
              <w:rPr>
                <w:sz w:val="22"/>
              </w:rPr>
            </w:pPr>
            <w:r w:rsidRPr="00940513">
              <w:rPr>
                <w:sz w:val="22"/>
              </w:rPr>
              <w:t>Gambling Commission regulatory issue</w:t>
            </w:r>
          </w:p>
          <w:p w14:paraId="0D3EEE8A" w14:textId="66E9705B" w:rsidR="007C4A2F" w:rsidRPr="00940513" w:rsidRDefault="00940513" w:rsidP="00940513">
            <w:pPr>
              <w:pStyle w:val="Maintext"/>
              <w:numPr>
                <w:ilvl w:val="0"/>
                <w:numId w:val="5"/>
              </w:numPr>
              <w:rPr>
                <w:sz w:val="22"/>
              </w:rPr>
            </w:pPr>
            <w:r w:rsidRPr="00940513">
              <w:rPr>
                <w:sz w:val="22"/>
              </w:rPr>
              <w:lastRenderedPageBreak/>
              <w:t>Not the relevant gambling sector</w:t>
            </w:r>
          </w:p>
          <w:p w14:paraId="54E0FFE6" w14:textId="77777777" w:rsidR="00940513" w:rsidRDefault="00940513" w:rsidP="00940513">
            <w:pPr>
              <w:pStyle w:val="Maintext"/>
              <w:numPr>
                <w:ilvl w:val="0"/>
                <w:numId w:val="5"/>
              </w:numPr>
              <w:rPr>
                <w:sz w:val="22"/>
              </w:rPr>
            </w:pPr>
            <w:r>
              <w:rPr>
                <w:sz w:val="22"/>
              </w:rPr>
              <w:t>Other</w:t>
            </w:r>
          </w:p>
          <w:p w14:paraId="763F1981" w14:textId="40667AC3" w:rsidR="000B2F95" w:rsidRPr="00F67B91" w:rsidRDefault="00522FD0" w:rsidP="00711509">
            <w:pPr>
              <w:pStyle w:val="Maintext"/>
              <w:numPr>
                <w:ilvl w:val="0"/>
                <w:numId w:val="2"/>
              </w:numPr>
              <w:rPr>
                <w:sz w:val="22"/>
              </w:rPr>
            </w:pPr>
            <w:r>
              <w:rPr>
                <w:sz w:val="22"/>
              </w:rPr>
              <w:t xml:space="preserve">cases discontinued for </w:t>
            </w:r>
            <w:r w:rsidR="00251610">
              <w:rPr>
                <w:sz w:val="22"/>
              </w:rPr>
              <w:t>non-operational reasons 0%</w:t>
            </w:r>
          </w:p>
        </w:tc>
      </w:tr>
      <w:tr w:rsidR="007C4A2F" w:rsidRPr="00F67B91" w14:paraId="50D1D237" w14:textId="77777777" w:rsidTr="007C4A2F">
        <w:tc>
          <w:tcPr>
            <w:tcW w:w="4928" w:type="dxa"/>
          </w:tcPr>
          <w:p w14:paraId="56A83D21" w14:textId="4251CB66" w:rsidR="007C4A2F" w:rsidRPr="00F67B91" w:rsidRDefault="007C4A2F" w:rsidP="00F67B91">
            <w:pPr>
              <w:pStyle w:val="Maintext"/>
              <w:numPr>
                <w:ilvl w:val="0"/>
                <w:numId w:val="1"/>
              </w:numPr>
              <w:rPr>
                <w:sz w:val="22"/>
              </w:rPr>
            </w:pPr>
            <w:r w:rsidRPr="00F67B91">
              <w:rPr>
                <w:sz w:val="22"/>
              </w:rPr>
              <w:lastRenderedPageBreak/>
              <w:t>the percentage of alternative dispute resolution procedures which were discontinued for operational reasons and, if known, the reasons for the discontinuation;</w:t>
            </w:r>
          </w:p>
        </w:tc>
        <w:tc>
          <w:tcPr>
            <w:tcW w:w="4252" w:type="dxa"/>
          </w:tcPr>
          <w:p w14:paraId="0F3E1101" w14:textId="3955A3E8" w:rsidR="007C4A2F" w:rsidRPr="00F67B91" w:rsidRDefault="007C4A2F" w:rsidP="00F67B91">
            <w:pPr>
              <w:pStyle w:val="Maintext"/>
              <w:numPr>
                <w:ilvl w:val="0"/>
                <w:numId w:val="3"/>
              </w:numPr>
              <w:rPr>
                <w:sz w:val="22"/>
              </w:rPr>
            </w:pPr>
            <w:r>
              <w:rPr>
                <w:sz w:val="22"/>
              </w:rPr>
              <w:t>n/a</w:t>
            </w:r>
          </w:p>
          <w:p w14:paraId="5B1F0A0F" w14:textId="3FB06FE3" w:rsidR="007C4A2F" w:rsidRPr="00F67B91" w:rsidRDefault="007C4A2F" w:rsidP="00F67B91">
            <w:pPr>
              <w:pStyle w:val="Maintext"/>
              <w:numPr>
                <w:ilvl w:val="0"/>
                <w:numId w:val="3"/>
              </w:numPr>
              <w:rPr>
                <w:sz w:val="22"/>
              </w:rPr>
            </w:pPr>
            <w:r w:rsidRPr="00F67B91">
              <w:rPr>
                <w:sz w:val="22"/>
              </w:rPr>
              <w:t>n/a</w:t>
            </w:r>
          </w:p>
        </w:tc>
      </w:tr>
      <w:tr w:rsidR="007C4A2F" w:rsidRPr="00F67B91" w14:paraId="0BCD9218" w14:textId="77777777" w:rsidTr="007C4A2F">
        <w:tc>
          <w:tcPr>
            <w:tcW w:w="4928" w:type="dxa"/>
          </w:tcPr>
          <w:p w14:paraId="1C7A6FFC" w14:textId="77777777" w:rsidR="007C4A2F" w:rsidRPr="00F67B91" w:rsidRDefault="007C4A2F" w:rsidP="00F67B91">
            <w:pPr>
              <w:pStyle w:val="Maintext"/>
              <w:numPr>
                <w:ilvl w:val="0"/>
                <w:numId w:val="1"/>
              </w:numPr>
              <w:rPr>
                <w:sz w:val="22"/>
              </w:rPr>
            </w:pPr>
            <w:r w:rsidRPr="00F67B91">
              <w:rPr>
                <w:sz w:val="22"/>
              </w:rPr>
              <w:t>the average time taken to resolve domestic disputes and cross-border disputes;</w:t>
            </w:r>
          </w:p>
        </w:tc>
        <w:tc>
          <w:tcPr>
            <w:tcW w:w="4252" w:type="dxa"/>
          </w:tcPr>
          <w:p w14:paraId="2026CE85" w14:textId="325C854A" w:rsidR="007C4A2F" w:rsidRPr="00F67B91" w:rsidRDefault="007C4A2F" w:rsidP="007C22DB">
            <w:pPr>
              <w:pStyle w:val="Maintext"/>
              <w:spacing w:line="280" w:lineRule="exact"/>
              <w:rPr>
                <w:sz w:val="22"/>
              </w:rPr>
            </w:pPr>
            <w:r>
              <w:rPr>
                <w:sz w:val="22"/>
              </w:rPr>
              <w:t>Average time in days</w:t>
            </w:r>
            <w:r w:rsidRPr="00F67B91">
              <w:rPr>
                <w:sz w:val="22"/>
              </w:rPr>
              <w:t xml:space="preserve"> –</w:t>
            </w:r>
            <w:r>
              <w:rPr>
                <w:sz w:val="22"/>
              </w:rPr>
              <w:t xml:space="preserve"> averag</w:t>
            </w:r>
            <w:r w:rsidR="007B383C">
              <w:rPr>
                <w:sz w:val="22"/>
              </w:rPr>
              <w:t xml:space="preserve">e </w:t>
            </w:r>
            <w:r w:rsidR="00617206">
              <w:rPr>
                <w:sz w:val="22"/>
              </w:rPr>
              <w:t>7</w:t>
            </w:r>
            <w:r w:rsidR="00BD7E59">
              <w:rPr>
                <w:sz w:val="22"/>
              </w:rPr>
              <w:t xml:space="preserve"> </w:t>
            </w:r>
            <w:r w:rsidR="007B383C">
              <w:rPr>
                <w:sz w:val="22"/>
              </w:rPr>
              <w:t>days</w:t>
            </w:r>
            <w:r w:rsidR="0096556E">
              <w:rPr>
                <w:sz w:val="22"/>
              </w:rPr>
              <w:t xml:space="preserve"> </w:t>
            </w:r>
            <w:r w:rsidR="000A49D0">
              <w:rPr>
                <w:sz w:val="22"/>
              </w:rPr>
              <w:t xml:space="preserve">domestic </w:t>
            </w:r>
            <w:r w:rsidR="0096556E">
              <w:rPr>
                <w:sz w:val="22"/>
              </w:rPr>
              <w:t xml:space="preserve">from notification </w:t>
            </w:r>
            <w:r w:rsidR="000A49D0">
              <w:rPr>
                <w:sz w:val="22"/>
              </w:rPr>
              <w:t>average</w:t>
            </w:r>
            <w:r w:rsidR="008527C1">
              <w:rPr>
                <w:sz w:val="22"/>
              </w:rPr>
              <w:t xml:space="preserve"> </w:t>
            </w:r>
            <w:r w:rsidR="00617206">
              <w:rPr>
                <w:sz w:val="22"/>
              </w:rPr>
              <w:t>6</w:t>
            </w:r>
            <w:r w:rsidR="008527C1">
              <w:rPr>
                <w:sz w:val="22"/>
              </w:rPr>
              <w:t xml:space="preserve"> days cross border</w:t>
            </w:r>
          </w:p>
        </w:tc>
      </w:tr>
      <w:tr w:rsidR="007C4A2F" w:rsidRPr="00F67B91" w14:paraId="69BCAC19" w14:textId="77777777" w:rsidTr="007C4A2F">
        <w:tc>
          <w:tcPr>
            <w:tcW w:w="4928" w:type="dxa"/>
          </w:tcPr>
          <w:p w14:paraId="686A6B06" w14:textId="77777777" w:rsidR="007C4A2F" w:rsidRPr="00F67B91" w:rsidRDefault="007C4A2F" w:rsidP="00F67B91">
            <w:pPr>
              <w:pStyle w:val="Maintext"/>
              <w:numPr>
                <w:ilvl w:val="0"/>
                <w:numId w:val="1"/>
              </w:numPr>
              <w:rPr>
                <w:sz w:val="22"/>
              </w:rPr>
            </w:pPr>
            <w:r w:rsidRPr="00F67B91">
              <w:rPr>
                <w:sz w:val="22"/>
              </w:rPr>
              <w:t>the rate of compliance, if known, with the outcomes of the alternative dispute resolution procedures;</w:t>
            </w:r>
          </w:p>
        </w:tc>
        <w:tc>
          <w:tcPr>
            <w:tcW w:w="4252" w:type="dxa"/>
          </w:tcPr>
          <w:p w14:paraId="5CBA21BC" w14:textId="46BC82CD" w:rsidR="007C4A2F" w:rsidRDefault="0096556E" w:rsidP="00F67B91">
            <w:pPr>
              <w:pStyle w:val="Maintext"/>
              <w:spacing w:line="280" w:lineRule="exact"/>
              <w:rPr>
                <w:sz w:val="22"/>
              </w:rPr>
            </w:pPr>
            <w:r>
              <w:rPr>
                <w:sz w:val="22"/>
              </w:rPr>
              <w:t xml:space="preserve">100% </w:t>
            </w:r>
          </w:p>
          <w:p w14:paraId="48F2DF58" w14:textId="2CFBC1BF" w:rsidR="00A13E48" w:rsidRPr="00F67B91" w:rsidRDefault="00A13E48" w:rsidP="00F67B91">
            <w:pPr>
              <w:pStyle w:val="Maintext"/>
              <w:spacing w:line="280" w:lineRule="exact"/>
              <w:rPr>
                <w:sz w:val="22"/>
              </w:rPr>
            </w:pPr>
            <w:r>
              <w:rPr>
                <w:sz w:val="22"/>
              </w:rPr>
              <w:t>Customers would complain further if deposits not returned.</w:t>
            </w:r>
          </w:p>
          <w:p w14:paraId="6BAD12F2" w14:textId="5E670D2F" w:rsidR="007C4A2F" w:rsidRPr="00F67B91" w:rsidRDefault="007C4A2F" w:rsidP="00F67B91">
            <w:pPr>
              <w:pStyle w:val="Maintext"/>
              <w:spacing w:line="280" w:lineRule="exact"/>
              <w:rPr>
                <w:sz w:val="22"/>
              </w:rPr>
            </w:pPr>
          </w:p>
        </w:tc>
      </w:tr>
      <w:tr w:rsidR="007C4A2F" w:rsidRPr="00F67B91" w14:paraId="478EE005" w14:textId="77777777" w:rsidTr="007C4A2F">
        <w:tc>
          <w:tcPr>
            <w:tcW w:w="4928" w:type="dxa"/>
          </w:tcPr>
          <w:p w14:paraId="0623215D" w14:textId="77777777" w:rsidR="007C4A2F" w:rsidRPr="00F67B91" w:rsidRDefault="007C4A2F" w:rsidP="00F67B91">
            <w:pPr>
              <w:pStyle w:val="Maintext"/>
              <w:numPr>
                <w:ilvl w:val="0"/>
                <w:numId w:val="1"/>
              </w:numPr>
              <w:rPr>
                <w:sz w:val="22"/>
              </w:rPr>
            </w:pPr>
            <w:r w:rsidRPr="00F67B91">
              <w:rPr>
                <w:sz w:val="22"/>
              </w:rPr>
              <w:t>the co-operation, if any, of the ADR entity within any network of ADR entities which facilitates the resolution of cross-border disputes.</w:t>
            </w:r>
          </w:p>
        </w:tc>
        <w:tc>
          <w:tcPr>
            <w:tcW w:w="4252" w:type="dxa"/>
          </w:tcPr>
          <w:p w14:paraId="0CC39DF1" w14:textId="591E3ABE" w:rsidR="00244D5F" w:rsidRPr="00F67B91" w:rsidRDefault="006E0677" w:rsidP="00F67B91">
            <w:pPr>
              <w:pStyle w:val="Maintext"/>
              <w:spacing w:line="280" w:lineRule="exact"/>
              <w:rPr>
                <w:sz w:val="22"/>
              </w:rPr>
            </w:pPr>
            <w:r>
              <w:rPr>
                <w:sz w:val="22"/>
              </w:rPr>
              <w:t>N</w:t>
            </w:r>
            <w:r w:rsidR="007C4A2F">
              <w:rPr>
                <w:sz w:val="22"/>
              </w:rPr>
              <w:t>/a</w:t>
            </w:r>
          </w:p>
        </w:tc>
      </w:tr>
    </w:tbl>
    <w:p w14:paraId="4F3505DE" w14:textId="77777777" w:rsidR="00C943BD" w:rsidRDefault="00C943BD" w:rsidP="00C943BD">
      <w:pPr>
        <w:pStyle w:val="Maintext"/>
        <w:spacing w:line="280" w:lineRule="exact"/>
        <w:rPr>
          <w:sz w:val="22"/>
        </w:rPr>
      </w:pPr>
    </w:p>
    <w:p w14:paraId="402EFEA0" w14:textId="4FD0E4B4" w:rsidR="002B743A" w:rsidRDefault="00D751E9">
      <w:pPr>
        <w:pStyle w:val="Maintext"/>
        <w:spacing w:line="280" w:lineRule="exact"/>
        <w:rPr>
          <w:sz w:val="22"/>
        </w:rPr>
      </w:pPr>
      <w:r>
        <w:rPr>
          <w:sz w:val="22"/>
        </w:rPr>
        <w:t xml:space="preserve">In addition, we request the following information, </w:t>
      </w:r>
      <w:r w:rsidR="006003E8">
        <w:rPr>
          <w:sz w:val="22"/>
        </w:rPr>
        <w:t xml:space="preserve">which is </w:t>
      </w:r>
      <w:r>
        <w:rPr>
          <w:sz w:val="22"/>
        </w:rPr>
        <w:t>not included in the ADR Regulations:</w:t>
      </w:r>
    </w:p>
    <w:p w14:paraId="14F09990" w14:textId="77777777" w:rsidR="00D751E9" w:rsidRDefault="00D751E9">
      <w:pPr>
        <w:pStyle w:val="Maintext"/>
        <w:spacing w:line="280" w:lineRule="exact"/>
        <w:rPr>
          <w:sz w:val="22"/>
        </w:rPr>
      </w:pPr>
    </w:p>
    <w:tbl>
      <w:tblPr>
        <w:tblStyle w:val="TableGrid"/>
        <w:tblW w:w="0" w:type="auto"/>
        <w:tblLook w:val="04A0" w:firstRow="1" w:lastRow="0" w:firstColumn="1" w:lastColumn="0" w:noHBand="0" w:noVBand="1"/>
      </w:tblPr>
      <w:tblGrid>
        <w:gridCol w:w="4583"/>
        <w:gridCol w:w="4584"/>
      </w:tblGrid>
      <w:tr w:rsidR="00D751E9" w14:paraId="5B3CD3BD" w14:textId="77777777" w:rsidTr="00D751E9">
        <w:tc>
          <w:tcPr>
            <w:tcW w:w="4583" w:type="dxa"/>
          </w:tcPr>
          <w:p w14:paraId="48C6DDE6" w14:textId="5D65CFE2" w:rsidR="00D751E9" w:rsidRDefault="00D751E9" w:rsidP="006003E8">
            <w:pPr>
              <w:pStyle w:val="Maintext"/>
              <w:numPr>
                <w:ilvl w:val="0"/>
                <w:numId w:val="1"/>
              </w:numPr>
              <w:spacing w:line="280" w:lineRule="exact"/>
              <w:rPr>
                <w:sz w:val="22"/>
              </w:rPr>
            </w:pPr>
            <w:r>
              <w:rPr>
                <w:sz w:val="22"/>
              </w:rPr>
              <w:t>% of completed disputes ruled in favour of the operator</w:t>
            </w:r>
          </w:p>
        </w:tc>
        <w:tc>
          <w:tcPr>
            <w:tcW w:w="4584" w:type="dxa"/>
          </w:tcPr>
          <w:p w14:paraId="103BA530" w14:textId="0C3AE1EF" w:rsidR="00D751E9" w:rsidRDefault="00D02D4B">
            <w:pPr>
              <w:pStyle w:val="Maintext"/>
              <w:spacing w:line="280" w:lineRule="exact"/>
              <w:rPr>
                <w:sz w:val="22"/>
              </w:rPr>
            </w:pPr>
            <w:r>
              <w:rPr>
                <w:sz w:val="22"/>
              </w:rPr>
              <w:t xml:space="preserve"> (Not a ruling)</w:t>
            </w:r>
          </w:p>
        </w:tc>
      </w:tr>
      <w:tr w:rsidR="00D751E9" w14:paraId="0DB5234B" w14:textId="77777777" w:rsidTr="00D751E9">
        <w:tc>
          <w:tcPr>
            <w:tcW w:w="4583" w:type="dxa"/>
          </w:tcPr>
          <w:p w14:paraId="4793E76E" w14:textId="14B0CB16" w:rsidR="00D751E9" w:rsidRDefault="00D751E9" w:rsidP="006003E8">
            <w:pPr>
              <w:pStyle w:val="Maintext"/>
              <w:numPr>
                <w:ilvl w:val="0"/>
                <w:numId w:val="1"/>
              </w:numPr>
              <w:spacing w:line="280" w:lineRule="exact"/>
              <w:rPr>
                <w:sz w:val="22"/>
              </w:rPr>
            </w:pPr>
            <w:r>
              <w:rPr>
                <w:sz w:val="22"/>
              </w:rPr>
              <w:t>% of completed disputes ruled in favour of the consumer</w:t>
            </w:r>
          </w:p>
        </w:tc>
        <w:tc>
          <w:tcPr>
            <w:tcW w:w="4584" w:type="dxa"/>
          </w:tcPr>
          <w:p w14:paraId="102244C6" w14:textId="6DE949F3" w:rsidR="00D751E9" w:rsidRDefault="009C1637">
            <w:pPr>
              <w:pStyle w:val="Maintext"/>
              <w:spacing w:line="280" w:lineRule="exact"/>
              <w:rPr>
                <w:sz w:val="22"/>
              </w:rPr>
            </w:pPr>
            <w:r>
              <w:rPr>
                <w:sz w:val="22"/>
              </w:rPr>
              <w:t>(</w:t>
            </w:r>
            <w:r w:rsidR="00D02D4B">
              <w:rPr>
                <w:sz w:val="22"/>
              </w:rPr>
              <w:t>Not a ruling)</w:t>
            </w:r>
          </w:p>
        </w:tc>
      </w:tr>
      <w:tr w:rsidR="00D751E9" w14:paraId="2BCA47B2" w14:textId="77777777" w:rsidTr="00D751E9">
        <w:tc>
          <w:tcPr>
            <w:tcW w:w="4583" w:type="dxa"/>
          </w:tcPr>
          <w:p w14:paraId="7917B308" w14:textId="0D8729E4" w:rsidR="00D751E9" w:rsidRDefault="006003E8" w:rsidP="00500609">
            <w:pPr>
              <w:pStyle w:val="Maintext"/>
              <w:numPr>
                <w:ilvl w:val="0"/>
                <w:numId w:val="1"/>
              </w:numPr>
              <w:spacing w:line="280" w:lineRule="exact"/>
              <w:rPr>
                <w:sz w:val="22"/>
              </w:rPr>
            </w:pPr>
            <w:r>
              <w:rPr>
                <w:sz w:val="22"/>
              </w:rPr>
              <w:t xml:space="preserve">% of completed disputes settled by the operator during the ADR body investigation  </w:t>
            </w:r>
          </w:p>
        </w:tc>
        <w:tc>
          <w:tcPr>
            <w:tcW w:w="4584" w:type="dxa"/>
          </w:tcPr>
          <w:p w14:paraId="1D3C425A" w14:textId="43CBE55D" w:rsidR="00D751E9" w:rsidRDefault="00E665FF" w:rsidP="00500609">
            <w:pPr>
              <w:pStyle w:val="Maintext"/>
              <w:spacing w:line="280" w:lineRule="exact"/>
              <w:rPr>
                <w:sz w:val="22"/>
              </w:rPr>
            </w:pPr>
            <w:r>
              <w:rPr>
                <w:sz w:val="22"/>
              </w:rPr>
              <w:t>10%</w:t>
            </w:r>
          </w:p>
        </w:tc>
      </w:tr>
    </w:tbl>
    <w:p w14:paraId="6D3FF3F0" w14:textId="162EC007" w:rsidR="00D751E9" w:rsidRDefault="00D751E9">
      <w:pPr>
        <w:pStyle w:val="Maintext"/>
        <w:spacing w:line="280" w:lineRule="exact"/>
        <w:rPr>
          <w:sz w:val="22"/>
        </w:rPr>
      </w:pPr>
    </w:p>
    <w:p w14:paraId="57B4B503" w14:textId="77777777" w:rsidR="005510C2" w:rsidRPr="005510C2" w:rsidRDefault="005510C2" w:rsidP="005510C2">
      <w:pPr>
        <w:pStyle w:val="Maintext"/>
        <w:spacing w:line="280" w:lineRule="exact"/>
        <w:rPr>
          <w:sz w:val="22"/>
        </w:rPr>
      </w:pPr>
      <w:r w:rsidRPr="005510C2">
        <w:rPr>
          <w:sz w:val="22"/>
        </w:rPr>
        <w:t>For annual report only - note that all fields relating to the annual report must be displayed on your website by 1 November each year.</w:t>
      </w:r>
    </w:p>
    <w:p w14:paraId="4A9108AF" w14:textId="77777777" w:rsidR="005510C2" w:rsidRPr="005510C2" w:rsidRDefault="005510C2" w:rsidP="005510C2">
      <w:pPr>
        <w:pStyle w:val="Maintext"/>
        <w:spacing w:line="280" w:lineRule="exact"/>
        <w:rPr>
          <w:sz w:val="22"/>
        </w:rPr>
      </w:pPr>
      <w:r w:rsidRPr="005510C2">
        <w:rPr>
          <w:sz w:val="22"/>
        </w:rPr>
        <w:t xml:space="preserve"> </w:t>
      </w:r>
    </w:p>
    <w:p w14:paraId="3906FE30" w14:textId="14D4060D" w:rsidR="005510C2" w:rsidRDefault="005510C2" w:rsidP="005510C2">
      <w:pPr>
        <w:pStyle w:val="Maintext"/>
        <w:spacing w:line="280" w:lineRule="exact"/>
        <w:rPr>
          <w:sz w:val="22"/>
        </w:rPr>
      </w:pPr>
      <w:r w:rsidRPr="005510C2">
        <w:rPr>
          <w:sz w:val="22"/>
        </w:rPr>
        <w:t>k) a description of any systematic or significant problems that occur frequently and lead to disputes between consumers and traders of which the ADR entity has become aware due to its operations as an ADR entity;</w:t>
      </w:r>
    </w:p>
    <w:p w14:paraId="24F8D027" w14:textId="7856412E" w:rsidR="00CF7133" w:rsidRDefault="00CF7133" w:rsidP="005510C2">
      <w:pPr>
        <w:pStyle w:val="Maintext"/>
        <w:spacing w:line="280" w:lineRule="exact"/>
        <w:rPr>
          <w:sz w:val="22"/>
        </w:rPr>
      </w:pPr>
    </w:p>
    <w:p w14:paraId="200F79D3" w14:textId="595D3BBB" w:rsidR="00CF7133" w:rsidRDefault="00D44DA5" w:rsidP="005510C2">
      <w:pPr>
        <w:pStyle w:val="Maintext"/>
        <w:spacing w:line="280" w:lineRule="exact"/>
        <w:rPr>
          <w:sz w:val="22"/>
        </w:rPr>
      </w:pPr>
      <w:r>
        <w:rPr>
          <w:sz w:val="22"/>
        </w:rPr>
        <w:t xml:space="preserve">Multiple accounting </w:t>
      </w:r>
      <w:r w:rsidR="00BC26B2">
        <w:rPr>
          <w:sz w:val="22"/>
        </w:rPr>
        <w:t xml:space="preserve">and syndication </w:t>
      </w:r>
      <w:r>
        <w:rPr>
          <w:sz w:val="22"/>
        </w:rPr>
        <w:t xml:space="preserve">allegations are frequently raised to argue breach of the terms and conditions resulting in </w:t>
      </w:r>
      <w:r w:rsidR="0064627E">
        <w:rPr>
          <w:sz w:val="22"/>
        </w:rPr>
        <w:t xml:space="preserve">voiding of winnings and return of deposit. </w:t>
      </w:r>
    </w:p>
    <w:p w14:paraId="11AE1B48" w14:textId="5E229102" w:rsidR="00973AB3" w:rsidRPr="005510C2" w:rsidRDefault="00973AB3" w:rsidP="005510C2">
      <w:pPr>
        <w:pStyle w:val="Maintext"/>
        <w:spacing w:line="280" w:lineRule="exact"/>
        <w:rPr>
          <w:sz w:val="22"/>
        </w:rPr>
      </w:pPr>
    </w:p>
    <w:p w14:paraId="5C523E65" w14:textId="77777777" w:rsidR="005510C2" w:rsidRPr="005510C2" w:rsidRDefault="005510C2" w:rsidP="005510C2">
      <w:pPr>
        <w:pStyle w:val="Maintext"/>
        <w:spacing w:line="280" w:lineRule="exact"/>
        <w:rPr>
          <w:sz w:val="22"/>
        </w:rPr>
      </w:pPr>
      <w:r w:rsidRPr="005510C2">
        <w:rPr>
          <w:sz w:val="22"/>
        </w:rPr>
        <w:t xml:space="preserve"> </w:t>
      </w:r>
    </w:p>
    <w:p w14:paraId="5A30830E" w14:textId="77777777" w:rsidR="005510C2" w:rsidRPr="005510C2" w:rsidRDefault="005510C2" w:rsidP="005510C2">
      <w:pPr>
        <w:pStyle w:val="Maintext"/>
        <w:spacing w:line="280" w:lineRule="exact"/>
        <w:rPr>
          <w:sz w:val="22"/>
        </w:rPr>
      </w:pPr>
      <w:r w:rsidRPr="005510C2">
        <w:rPr>
          <w:sz w:val="22"/>
        </w:rPr>
        <w:t xml:space="preserve"> </w:t>
      </w:r>
    </w:p>
    <w:p w14:paraId="12208C2D" w14:textId="77777777" w:rsidR="005510C2" w:rsidRPr="005510C2" w:rsidRDefault="005510C2" w:rsidP="005510C2">
      <w:pPr>
        <w:pStyle w:val="Maintext"/>
        <w:spacing w:line="280" w:lineRule="exact"/>
        <w:rPr>
          <w:sz w:val="22"/>
        </w:rPr>
      </w:pPr>
      <w:r w:rsidRPr="005510C2">
        <w:rPr>
          <w:sz w:val="22"/>
        </w:rPr>
        <w:lastRenderedPageBreak/>
        <w:t xml:space="preserve">                     </w:t>
      </w:r>
    </w:p>
    <w:p w14:paraId="05AE56E5" w14:textId="450A7013" w:rsidR="005510C2" w:rsidRDefault="005510C2" w:rsidP="005510C2">
      <w:pPr>
        <w:pStyle w:val="Maintext"/>
        <w:spacing w:line="280" w:lineRule="exact"/>
        <w:rPr>
          <w:sz w:val="22"/>
        </w:rPr>
      </w:pPr>
      <w:r w:rsidRPr="005510C2">
        <w:rPr>
          <w:sz w:val="22"/>
        </w:rPr>
        <w:t>l) any recommendations the ADR entity may have as to how the problems referred to in paragraph (c) could be avoided or resolved in future, in order to raise traders’ standards and to facilitate the exchange of information and best practices</w:t>
      </w:r>
    </w:p>
    <w:p w14:paraId="3C7A58A0" w14:textId="77777777" w:rsidR="00BC26B2" w:rsidRPr="005510C2" w:rsidRDefault="00BC26B2" w:rsidP="005510C2">
      <w:pPr>
        <w:pStyle w:val="Maintext"/>
        <w:spacing w:line="280" w:lineRule="exact"/>
        <w:rPr>
          <w:sz w:val="22"/>
        </w:rPr>
      </w:pPr>
    </w:p>
    <w:p w14:paraId="49D97B50" w14:textId="3EDDE51D" w:rsidR="005510C2" w:rsidRPr="005510C2" w:rsidRDefault="00954245" w:rsidP="005510C2">
      <w:pPr>
        <w:pStyle w:val="Maintext"/>
        <w:spacing w:line="280" w:lineRule="exact"/>
        <w:rPr>
          <w:sz w:val="22"/>
        </w:rPr>
      </w:pPr>
      <w:r>
        <w:rPr>
          <w:sz w:val="22"/>
        </w:rPr>
        <w:t>Terms and conditions could be made clearer and checks made before accepting a deposit.</w:t>
      </w:r>
      <w:r w:rsidR="00262E48">
        <w:rPr>
          <w:sz w:val="22"/>
        </w:rPr>
        <w:t xml:space="preserve"> </w:t>
      </w:r>
      <w:r w:rsidR="006A2BE4">
        <w:rPr>
          <w:sz w:val="22"/>
        </w:rPr>
        <w:t>Terms of bonus</w:t>
      </w:r>
      <w:r w:rsidR="0031760D">
        <w:rPr>
          <w:sz w:val="22"/>
        </w:rPr>
        <w:t xml:space="preserve"> offers </w:t>
      </w:r>
      <w:r w:rsidR="006A2BE4">
        <w:rPr>
          <w:sz w:val="22"/>
        </w:rPr>
        <w:t xml:space="preserve">could be made clearer. </w:t>
      </w:r>
      <w:r w:rsidR="003B74A6">
        <w:rPr>
          <w:sz w:val="22"/>
        </w:rPr>
        <w:t xml:space="preserve">There could be better self exclusion </w:t>
      </w:r>
      <w:r w:rsidR="000929D4">
        <w:rPr>
          <w:sz w:val="22"/>
        </w:rPr>
        <w:t>processes between casinos operated by the same group.</w:t>
      </w:r>
      <w:r w:rsidR="0079399B">
        <w:rPr>
          <w:sz w:val="22"/>
        </w:rPr>
        <w:t xml:space="preserve"> All of the complaints we have dealt with have concerned online casinos.</w:t>
      </w:r>
    </w:p>
    <w:p w14:paraId="375C8142" w14:textId="77777777" w:rsidR="005510C2" w:rsidRPr="005510C2" w:rsidRDefault="005510C2" w:rsidP="005510C2">
      <w:pPr>
        <w:pStyle w:val="Maintext"/>
        <w:spacing w:line="280" w:lineRule="exact"/>
        <w:rPr>
          <w:sz w:val="22"/>
        </w:rPr>
      </w:pPr>
      <w:r w:rsidRPr="005510C2">
        <w:rPr>
          <w:sz w:val="22"/>
        </w:rPr>
        <w:t xml:space="preserve">                     </w:t>
      </w:r>
    </w:p>
    <w:p w14:paraId="72D7889B" w14:textId="77777777" w:rsidR="005510C2" w:rsidRPr="005510C2" w:rsidRDefault="005510C2" w:rsidP="005510C2">
      <w:pPr>
        <w:pStyle w:val="Maintext"/>
        <w:spacing w:line="280" w:lineRule="exact"/>
        <w:rPr>
          <w:sz w:val="22"/>
        </w:rPr>
      </w:pPr>
      <w:r w:rsidRPr="005510C2">
        <w:rPr>
          <w:sz w:val="22"/>
        </w:rPr>
        <w:t>m) the rate of compliance, if known, with the outcomes of the alternative dispute resolution procedures;</w:t>
      </w:r>
    </w:p>
    <w:p w14:paraId="51A09506" w14:textId="77777777" w:rsidR="005510C2" w:rsidRPr="005510C2" w:rsidRDefault="005510C2" w:rsidP="005510C2">
      <w:pPr>
        <w:pStyle w:val="Maintext"/>
        <w:spacing w:line="280" w:lineRule="exact"/>
        <w:rPr>
          <w:sz w:val="22"/>
        </w:rPr>
      </w:pPr>
      <w:r w:rsidRPr="005510C2">
        <w:rPr>
          <w:sz w:val="22"/>
        </w:rPr>
        <w:t xml:space="preserve"> </w:t>
      </w:r>
    </w:p>
    <w:p w14:paraId="1881E49E" w14:textId="2BAAA98A" w:rsidR="005510C2" w:rsidRPr="005510C2" w:rsidRDefault="005510C2" w:rsidP="005510C2">
      <w:pPr>
        <w:pStyle w:val="Maintext"/>
        <w:spacing w:line="280" w:lineRule="exact"/>
        <w:rPr>
          <w:sz w:val="22"/>
        </w:rPr>
      </w:pPr>
      <w:r w:rsidRPr="005510C2">
        <w:rPr>
          <w:sz w:val="22"/>
        </w:rPr>
        <w:t xml:space="preserve"> </w:t>
      </w:r>
      <w:r w:rsidR="00954245">
        <w:rPr>
          <w:sz w:val="22"/>
        </w:rPr>
        <w:t>Insofar as we are aware the parties comply with the agreed outcomes.</w:t>
      </w:r>
    </w:p>
    <w:p w14:paraId="4A2C4848" w14:textId="77777777" w:rsidR="005510C2" w:rsidRPr="005510C2" w:rsidRDefault="005510C2" w:rsidP="005510C2">
      <w:pPr>
        <w:pStyle w:val="Maintext"/>
        <w:spacing w:line="280" w:lineRule="exact"/>
        <w:rPr>
          <w:sz w:val="22"/>
        </w:rPr>
      </w:pPr>
      <w:r w:rsidRPr="005510C2">
        <w:rPr>
          <w:sz w:val="22"/>
        </w:rPr>
        <w:t xml:space="preserve">                   </w:t>
      </w:r>
    </w:p>
    <w:p w14:paraId="1FDDC58E" w14:textId="77777777" w:rsidR="005510C2" w:rsidRPr="005510C2" w:rsidRDefault="005510C2" w:rsidP="005510C2">
      <w:pPr>
        <w:pStyle w:val="Maintext"/>
        <w:spacing w:line="280" w:lineRule="exact"/>
        <w:rPr>
          <w:sz w:val="22"/>
        </w:rPr>
      </w:pPr>
      <w:r w:rsidRPr="005510C2">
        <w:rPr>
          <w:sz w:val="22"/>
        </w:rPr>
        <w:t>n) the co-operation, if any, of the ADR entity within any network of ADR entities which facilitates the resolution of cross-border disputes.</w:t>
      </w:r>
    </w:p>
    <w:p w14:paraId="19F0926F" w14:textId="77777777" w:rsidR="005510C2" w:rsidRPr="005510C2" w:rsidRDefault="005510C2" w:rsidP="005510C2">
      <w:pPr>
        <w:pStyle w:val="Maintext"/>
        <w:spacing w:line="280" w:lineRule="exact"/>
        <w:rPr>
          <w:sz w:val="22"/>
        </w:rPr>
      </w:pPr>
      <w:r w:rsidRPr="005510C2">
        <w:rPr>
          <w:sz w:val="22"/>
        </w:rPr>
        <w:t xml:space="preserve"> </w:t>
      </w:r>
    </w:p>
    <w:p w14:paraId="3D2E687E" w14:textId="633DEA95" w:rsidR="005510C2" w:rsidRPr="005510C2" w:rsidRDefault="005510C2" w:rsidP="005510C2">
      <w:pPr>
        <w:pStyle w:val="Maintext"/>
        <w:spacing w:line="280" w:lineRule="exact"/>
        <w:rPr>
          <w:sz w:val="22"/>
        </w:rPr>
      </w:pPr>
      <w:r w:rsidRPr="005510C2">
        <w:rPr>
          <w:sz w:val="22"/>
        </w:rPr>
        <w:t xml:space="preserve"> </w:t>
      </w:r>
      <w:r w:rsidR="00973AB3">
        <w:rPr>
          <w:sz w:val="22"/>
        </w:rPr>
        <w:t xml:space="preserve">Not applicable </w:t>
      </w:r>
    </w:p>
    <w:p w14:paraId="386B7E25" w14:textId="77777777" w:rsidR="005510C2" w:rsidRPr="005510C2" w:rsidRDefault="005510C2" w:rsidP="005510C2">
      <w:pPr>
        <w:pStyle w:val="Maintext"/>
        <w:spacing w:line="280" w:lineRule="exact"/>
        <w:rPr>
          <w:sz w:val="22"/>
        </w:rPr>
      </w:pPr>
      <w:r w:rsidRPr="005510C2">
        <w:rPr>
          <w:sz w:val="22"/>
        </w:rPr>
        <w:t xml:space="preserve">                   </w:t>
      </w:r>
    </w:p>
    <w:p w14:paraId="1A899753" w14:textId="77777777" w:rsidR="005510C2" w:rsidRDefault="005510C2">
      <w:pPr>
        <w:pStyle w:val="Maintext"/>
        <w:spacing w:line="280" w:lineRule="exact"/>
        <w:rPr>
          <w:sz w:val="22"/>
        </w:rPr>
      </w:pPr>
    </w:p>
    <w:p w14:paraId="1CDED063" w14:textId="77777777" w:rsidR="00D751E9" w:rsidRDefault="00D751E9">
      <w:pPr>
        <w:pStyle w:val="Maintext"/>
        <w:spacing w:line="280" w:lineRule="exact"/>
        <w:rPr>
          <w:sz w:val="22"/>
        </w:rPr>
      </w:pPr>
    </w:p>
    <w:p w14:paraId="6512946D" w14:textId="77777777" w:rsidR="00D751E9" w:rsidRDefault="00D751E9">
      <w:pPr>
        <w:pStyle w:val="Maintext"/>
        <w:spacing w:line="280" w:lineRule="exact"/>
        <w:rPr>
          <w:sz w:val="22"/>
        </w:rPr>
        <w:sectPr w:rsidR="00D751E9">
          <w:headerReference w:type="default" r:id="rId13"/>
          <w:footerReference w:type="default" r:id="rId14"/>
          <w:headerReference w:type="first" r:id="rId15"/>
          <w:footerReference w:type="first" r:id="rId16"/>
          <w:type w:val="continuous"/>
          <w:pgSz w:w="11899" w:h="16838"/>
          <w:pgMar w:top="2798" w:right="1361" w:bottom="2268" w:left="1361" w:header="964" w:footer="680" w:gutter="0"/>
          <w:cols w:space="708"/>
          <w:titlePg/>
        </w:sectPr>
      </w:pPr>
    </w:p>
    <w:p w14:paraId="0A0B0F4A" w14:textId="77777777" w:rsidR="006E65FC" w:rsidRDefault="006E65FC">
      <w:pPr>
        <w:pStyle w:val="Maintext"/>
        <w:spacing w:line="280" w:lineRule="exact"/>
        <w:rPr>
          <w:sz w:val="22"/>
        </w:rPr>
      </w:pPr>
    </w:p>
    <w:p w14:paraId="655642D4" w14:textId="77777777" w:rsidR="006E65FC" w:rsidRPr="00A71DBB" w:rsidRDefault="006E65FC">
      <w:pPr>
        <w:pStyle w:val="Maintext"/>
        <w:spacing w:line="280" w:lineRule="exact"/>
        <w:rPr>
          <w:sz w:val="22"/>
        </w:rPr>
      </w:pPr>
    </w:p>
    <w:sectPr w:rsidR="006E65FC" w:rsidRPr="00A71DBB" w:rsidSect="00C943BD">
      <w:headerReference w:type="first" r:id="rId17"/>
      <w:footerReference w:type="first" r:id="rId18"/>
      <w:type w:val="continuous"/>
      <w:pgSz w:w="11899" w:h="16838"/>
      <w:pgMar w:top="1701" w:right="1361" w:bottom="1701" w:left="1361" w:header="964"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E5FDC" w14:textId="77777777" w:rsidR="00B13E0B" w:rsidRDefault="00B13E0B">
      <w:r>
        <w:separator/>
      </w:r>
    </w:p>
  </w:endnote>
  <w:endnote w:type="continuationSeparator" w:id="0">
    <w:p w14:paraId="570D0CE7" w14:textId="77777777" w:rsidR="00B13E0B" w:rsidRDefault="00B1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36DE7" w14:textId="77777777" w:rsidR="00607634" w:rsidRPr="00C943BD" w:rsidRDefault="00607634" w:rsidP="00C943BD">
    <w:pPr>
      <w:pStyle w:val="Footer"/>
      <w:jc w:val="both"/>
      <w:rPr>
        <w:rFonts w:ascii="Arial" w:hAnsi="Arial" w:cs="Arial"/>
        <w:i/>
        <w:iCs/>
        <w:sz w:val="18"/>
        <w:szCs w:val="18"/>
      </w:rPr>
    </w:pPr>
    <w:r w:rsidRPr="00C943BD">
      <w:rPr>
        <w:rFonts w:ascii="Arial" w:hAnsi="Arial" w:cs="Arial"/>
        <w:i/>
        <w:iCs/>
        <w:sz w:val="18"/>
        <w:szCs w:val="18"/>
      </w:rPr>
      <w:fldChar w:fldCharType="begin"/>
    </w:r>
    <w:r w:rsidRPr="00C943BD">
      <w:rPr>
        <w:rFonts w:ascii="Arial" w:hAnsi="Arial" w:cs="Arial"/>
        <w:i/>
        <w:iCs/>
        <w:sz w:val="18"/>
        <w:szCs w:val="18"/>
      </w:rPr>
      <w:instrText xml:space="preserve"> PAGE </w:instrText>
    </w:r>
    <w:r w:rsidRPr="00C943BD">
      <w:rPr>
        <w:rFonts w:ascii="Arial" w:hAnsi="Arial" w:cs="Arial"/>
        <w:i/>
        <w:iCs/>
        <w:sz w:val="18"/>
        <w:szCs w:val="18"/>
      </w:rPr>
      <w:fldChar w:fldCharType="separate"/>
    </w:r>
    <w:r w:rsidR="00756648">
      <w:rPr>
        <w:rFonts w:ascii="Arial" w:hAnsi="Arial" w:cs="Arial"/>
        <w:i/>
        <w:iCs/>
        <w:noProof/>
        <w:sz w:val="18"/>
        <w:szCs w:val="18"/>
      </w:rPr>
      <w:t>2</w:t>
    </w:r>
    <w:r w:rsidRPr="00C943BD">
      <w:rPr>
        <w:rFonts w:ascii="Arial" w:hAnsi="Arial" w:cs="Arial"/>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870" w:type="dxa"/>
      <w:tblInd w:w="4644" w:type="dxa"/>
      <w:tblLayout w:type="fixed"/>
      <w:tblLook w:val="0000" w:firstRow="0" w:lastRow="0" w:firstColumn="0" w:lastColumn="0" w:noHBand="0" w:noVBand="0"/>
    </w:tblPr>
    <w:tblGrid>
      <w:gridCol w:w="2215"/>
      <w:gridCol w:w="2655"/>
    </w:tblGrid>
    <w:tr w:rsidR="00607634" w14:paraId="32E471CD" w14:textId="77777777">
      <w:tc>
        <w:tcPr>
          <w:tcW w:w="2215" w:type="dxa"/>
        </w:tcPr>
        <w:p w14:paraId="7C6A46DF" w14:textId="77777777" w:rsidR="00607634" w:rsidRDefault="00607634">
          <w:pPr>
            <w:pStyle w:val="Footer"/>
            <w:spacing w:line="220" w:lineRule="exact"/>
            <w:rPr>
              <w:rFonts w:ascii="Arial" w:hAnsi="Arial"/>
              <w:sz w:val="18"/>
            </w:rPr>
          </w:pPr>
          <w:r>
            <w:rPr>
              <w:rFonts w:ascii="Arial" w:hAnsi="Arial"/>
              <w:sz w:val="18"/>
            </w:rPr>
            <w:t>Victoria Square House</w:t>
          </w:r>
        </w:p>
        <w:p w14:paraId="142DC330" w14:textId="77777777" w:rsidR="00607634" w:rsidRDefault="00607634">
          <w:pPr>
            <w:pStyle w:val="Footer"/>
            <w:spacing w:line="220" w:lineRule="exact"/>
            <w:rPr>
              <w:rFonts w:ascii="Arial" w:hAnsi="Arial"/>
              <w:sz w:val="18"/>
            </w:rPr>
          </w:pPr>
          <w:r>
            <w:rPr>
              <w:rFonts w:ascii="Arial" w:hAnsi="Arial"/>
              <w:sz w:val="18"/>
            </w:rPr>
            <w:t>Victoria Square</w:t>
          </w:r>
        </w:p>
        <w:p w14:paraId="3AA5CAC0" w14:textId="77777777" w:rsidR="00607634" w:rsidRDefault="00607634">
          <w:pPr>
            <w:pStyle w:val="Footer"/>
            <w:spacing w:line="220" w:lineRule="exact"/>
            <w:rPr>
              <w:rFonts w:ascii="Arial" w:hAnsi="Arial"/>
              <w:sz w:val="18"/>
            </w:rPr>
          </w:pPr>
          <w:r>
            <w:rPr>
              <w:rFonts w:ascii="Arial" w:hAnsi="Arial"/>
              <w:sz w:val="18"/>
            </w:rPr>
            <w:t>Birmingham B2 4BP</w:t>
          </w:r>
        </w:p>
      </w:tc>
      <w:tc>
        <w:tcPr>
          <w:tcW w:w="2655" w:type="dxa"/>
        </w:tcPr>
        <w:p w14:paraId="055FF814" w14:textId="77777777" w:rsidR="00607634" w:rsidRDefault="00607634">
          <w:pPr>
            <w:pStyle w:val="Footer"/>
            <w:spacing w:line="220" w:lineRule="exact"/>
            <w:rPr>
              <w:rFonts w:ascii="Arial" w:hAnsi="Arial"/>
              <w:sz w:val="18"/>
            </w:rPr>
          </w:pPr>
          <w:r>
            <w:rPr>
              <w:rFonts w:ascii="Arial" w:hAnsi="Arial"/>
              <w:b/>
              <w:sz w:val="18"/>
            </w:rPr>
            <w:t>T</w:t>
          </w:r>
          <w:r>
            <w:rPr>
              <w:rFonts w:ascii="Arial" w:hAnsi="Arial"/>
              <w:sz w:val="18"/>
            </w:rPr>
            <w:t xml:space="preserve">  0121 230 6500</w:t>
          </w:r>
        </w:p>
        <w:p w14:paraId="4DBCBFF4" w14:textId="77777777" w:rsidR="00607634" w:rsidRDefault="00607634">
          <w:pPr>
            <w:pStyle w:val="Footer"/>
            <w:spacing w:line="220" w:lineRule="exact"/>
            <w:rPr>
              <w:rFonts w:ascii="Arial" w:hAnsi="Arial"/>
              <w:sz w:val="18"/>
            </w:rPr>
          </w:pPr>
          <w:r>
            <w:rPr>
              <w:rFonts w:ascii="Arial" w:hAnsi="Arial"/>
              <w:b/>
              <w:sz w:val="18"/>
            </w:rPr>
            <w:t>F</w:t>
          </w:r>
          <w:r>
            <w:rPr>
              <w:rFonts w:ascii="Arial" w:hAnsi="Arial"/>
              <w:sz w:val="18"/>
            </w:rPr>
            <w:t xml:space="preserve">  0121 230 6720</w:t>
          </w:r>
        </w:p>
        <w:p w14:paraId="5D1CBF51" w14:textId="77777777" w:rsidR="00607634" w:rsidRDefault="00607634">
          <w:pPr>
            <w:pStyle w:val="Footer"/>
            <w:spacing w:line="220" w:lineRule="exact"/>
            <w:rPr>
              <w:rFonts w:ascii="Arial" w:hAnsi="Arial"/>
              <w:sz w:val="16"/>
            </w:rPr>
          </w:pPr>
          <w:r>
            <w:rPr>
              <w:rFonts w:ascii="Arial" w:hAnsi="Arial"/>
              <w:sz w:val="16"/>
            </w:rPr>
            <w:t>www.gamblingcommission.gov.uk</w:t>
          </w:r>
        </w:p>
      </w:tc>
    </w:tr>
  </w:tbl>
  <w:p w14:paraId="00EE841E" w14:textId="77777777" w:rsidR="00607634" w:rsidRDefault="006076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3F848" w14:textId="77777777" w:rsidR="00607634" w:rsidRDefault="00607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2FDFB" w14:textId="77777777" w:rsidR="00B13E0B" w:rsidRDefault="00B13E0B">
      <w:r>
        <w:separator/>
      </w:r>
    </w:p>
  </w:footnote>
  <w:footnote w:type="continuationSeparator" w:id="0">
    <w:p w14:paraId="34C0D429" w14:textId="77777777" w:rsidR="00B13E0B" w:rsidRDefault="00B1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FC56B" w14:textId="25EA09FC" w:rsidR="00607634" w:rsidRPr="00C943BD" w:rsidRDefault="004F77AB">
    <w:pPr>
      <w:pStyle w:val="Header"/>
      <w:rPr>
        <w:rFonts w:ascii="Arial" w:hAnsi="Arial" w:cs="Arial"/>
        <w:i/>
        <w:iCs/>
        <w:sz w:val="18"/>
        <w:szCs w:val="18"/>
      </w:rPr>
    </w:pPr>
    <w:r>
      <w:rPr>
        <w:rFonts w:ascii="Arial" w:hAnsi="Arial" w:cs="Arial"/>
        <w:i/>
        <w:iCs/>
        <w:sz w:val="18"/>
        <w:szCs w:val="18"/>
      </w:rPr>
      <w:t>ADR Entity Reporting – Annual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F1ACC" w14:textId="77777777" w:rsidR="00607634" w:rsidRDefault="00607634">
    <w:pPr>
      <w:pStyle w:val="Header"/>
      <w:jc w:val="right"/>
    </w:pPr>
    <w:r>
      <w:rPr>
        <w:noProof/>
        <w:lang w:eastAsia="en-GB"/>
      </w:rPr>
      <w:drawing>
        <wp:inline distT="0" distB="0" distL="0" distR="0" wp14:anchorId="0F937357" wp14:editId="26BC99D0">
          <wp:extent cx="2865120" cy="769620"/>
          <wp:effectExtent l="19050" t="0" r="0" b="0"/>
          <wp:docPr id="1" name="Picture 1" descr="GC_Logo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ogo_B&amp;W"/>
                  <pic:cNvPicPr>
                    <a:picLocks noChangeAspect="1" noChangeArrowheads="1"/>
                  </pic:cNvPicPr>
                </pic:nvPicPr>
                <pic:blipFill>
                  <a:blip r:embed="rId1"/>
                  <a:srcRect/>
                  <a:stretch>
                    <a:fillRect/>
                  </a:stretch>
                </pic:blipFill>
                <pic:spPr bwMode="auto">
                  <a:xfrm>
                    <a:off x="0" y="0"/>
                    <a:ext cx="2865120" cy="76962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58C60" w14:textId="77777777" w:rsidR="00607634" w:rsidRDefault="00607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717EC"/>
    <w:multiLevelType w:val="hybridMultilevel"/>
    <w:tmpl w:val="29FC1132"/>
    <w:lvl w:ilvl="0" w:tplc="25908A38">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24E3F"/>
    <w:multiLevelType w:val="hybridMultilevel"/>
    <w:tmpl w:val="35543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BB2D90"/>
    <w:multiLevelType w:val="hybridMultilevel"/>
    <w:tmpl w:val="D70ECE12"/>
    <w:lvl w:ilvl="0" w:tplc="EE62DC38">
      <w:numFmt w:val="bullet"/>
      <w:lvlText w:val="-"/>
      <w:lvlJc w:val="left"/>
      <w:pPr>
        <w:ind w:left="405" w:hanging="360"/>
      </w:pPr>
      <w:rPr>
        <w:rFonts w:ascii="Times" w:eastAsia="Times" w:hAnsi="Times" w:cs="Times"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6AC00F56"/>
    <w:multiLevelType w:val="hybridMultilevel"/>
    <w:tmpl w:val="FA1CC15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5580681"/>
    <w:multiLevelType w:val="hybridMultilevel"/>
    <w:tmpl w:val="66AC6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B91"/>
    <w:rsid w:val="000043AF"/>
    <w:rsid w:val="00006A51"/>
    <w:rsid w:val="000242F4"/>
    <w:rsid w:val="00080363"/>
    <w:rsid w:val="0008309A"/>
    <w:rsid w:val="000929D4"/>
    <w:rsid w:val="0009480D"/>
    <w:rsid w:val="000A49D0"/>
    <w:rsid w:val="000B2F95"/>
    <w:rsid w:val="000E3894"/>
    <w:rsid w:val="00112F9B"/>
    <w:rsid w:val="00133BAA"/>
    <w:rsid w:val="001A166B"/>
    <w:rsid w:val="00207C38"/>
    <w:rsid w:val="00244D5F"/>
    <w:rsid w:val="00251610"/>
    <w:rsid w:val="00262E48"/>
    <w:rsid w:val="002B743A"/>
    <w:rsid w:val="002C438B"/>
    <w:rsid w:val="002F58D2"/>
    <w:rsid w:val="002F69CD"/>
    <w:rsid w:val="0031760D"/>
    <w:rsid w:val="003351A9"/>
    <w:rsid w:val="00336135"/>
    <w:rsid w:val="00350F56"/>
    <w:rsid w:val="003700AA"/>
    <w:rsid w:val="00380FCE"/>
    <w:rsid w:val="003913C3"/>
    <w:rsid w:val="003A1B80"/>
    <w:rsid w:val="003A7E22"/>
    <w:rsid w:val="003B74A6"/>
    <w:rsid w:val="003E1E7F"/>
    <w:rsid w:val="004203B3"/>
    <w:rsid w:val="004952CE"/>
    <w:rsid w:val="004B2D87"/>
    <w:rsid w:val="004C460D"/>
    <w:rsid w:val="004C57E6"/>
    <w:rsid w:val="004F77AB"/>
    <w:rsid w:val="00500609"/>
    <w:rsid w:val="00522FD0"/>
    <w:rsid w:val="00542ACA"/>
    <w:rsid w:val="005510C2"/>
    <w:rsid w:val="00562D8C"/>
    <w:rsid w:val="00566CB6"/>
    <w:rsid w:val="0057112D"/>
    <w:rsid w:val="005860EC"/>
    <w:rsid w:val="00592033"/>
    <w:rsid w:val="005C46F7"/>
    <w:rsid w:val="006003E8"/>
    <w:rsid w:val="00607634"/>
    <w:rsid w:val="00617206"/>
    <w:rsid w:val="0064627E"/>
    <w:rsid w:val="00666ED2"/>
    <w:rsid w:val="006719AB"/>
    <w:rsid w:val="0067580B"/>
    <w:rsid w:val="00696486"/>
    <w:rsid w:val="006A2BE4"/>
    <w:rsid w:val="006E0677"/>
    <w:rsid w:val="006E1F82"/>
    <w:rsid w:val="006E65FC"/>
    <w:rsid w:val="0070603E"/>
    <w:rsid w:val="00711036"/>
    <w:rsid w:val="00711509"/>
    <w:rsid w:val="00727EF8"/>
    <w:rsid w:val="007465BE"/>
    <w:rsid w:val="00755CA8"/>
    <w:rsid w:val="00756648"/>
    <w:rsid w:val="00766627"/>
    <w:rsid w:val="00772D21"/>
    <w:rsid w:val="0079399B"/>
    <w:rsid w:val="007A0CA4"/>
    <w:rsid w:val="007B383C"/>
    <w:rsid w:val="007C22DB"/>
    <w:rsid w:val="007C4A2F"/>
    <w:rsid w:val="007D117E"/>
    <w:rsid w:val="008035F6"/>
    <w:rsid w:val="008527C1"/>
    <w:rsid w:val="00856B04"/>
    <w:rsid w:val="008B25E5"/>
    <w:rsid w:val="008B638F"/>
    <w:rsid w:val="008E0517"/>
    <w:rsid w:val="0092498B"/>
    <w:rsid w:val="00940513"/>
    <w:rsid w:val="00954245"/>
    <w:rsid w:val="0096556E"/>
    <w:rsid w:val="00973AB3"/>
    <w:rsid w:val="009934A6"/>
    <w:rsid w:val="00997491"/>
    <w:rsid w:val="009A5B7F"/>
    <w:rsid w:val="009C1637"/>
    <w:rsid w:val="009F0889"/>
    <w:rsid w:val="00A1343D"/>
    <w:rsid w:val="00A13E48"/>
    <w:rsid w:val="00A1585F"/>
    <w:rsid w:val="00A37F32"/>
    <w:rsid w:val="00A442E7"/>
    <w:rsid w:val="00A71DBB"/>
    <w:rsid w:val="00A73147"/>
    <w:rsid w:val="00A829E1"/>
    <w:rsid w:val="00A96AFD"/>
    <w:rsid w:val="00A97F86"/>
    <w:rsid w:val="00AA1F00"/>
    <w:rsid w:val="00AB56A4"/>
    <w:rsid w:val="00AC0483"/>
    <w:rsid w:val="00AE425C"/>
    <w:rsid w:val="00B1209E"/>
    <w:rsid w:val="00B13E0B"/>
    <w:rsid w:val="00BB6BAE"/>
    <w:rsid w:val="00BC26B2"/>
    <w:rsid w:val="00BD1B58"/>
    <w:rsid w:val="00BD7E59"/>
    <w:rsid w:val="00C301CF"/>
    <w:rsid w:val="00C81A71"/>
    <w:rsid w:val="00C909AD"/>
    <w:rsid w:val="00C943BD"/>
    <w:rsid w:val="00CA1EA9"/>
    <w:rsid w:val="00CF7133"/>
    <w:rsid w:val="00D02D4B"/>
    <w:rsid w:val="00D15FE6"/>
    <w:rsid w:val="00D2004C"/>
    <w:rsid w:val="00D201E3"/>
    <w:rsid w:val="00D36EB5"/>
    <w:rsid w:val="00D44DA5"/>
    <w:rsid w:val="00D51202"/>
    <w:rsid w:val="00D72455"/>
    <w:rsid w:val="00D751E9"/>
    <w:rsid w:val="00DA0D2D"/>
    <w:rsid w:val="00DF24DB"/>
    <w:rsid w:val="00E665FF"/>
    <w:rsid w:val="00F15229"/>
    <w:rsid w:val="00F34837"/>
    <w:rsid w:val="00F6598F"/>
    <w:rsid w:val="00F67B91"/>
    <w:rsid w:val="00F77BC5"/>
    <w:rsid w:val="00F834F6"/>
    <w:rsid w:val="00FB4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AB6A7"/>
  <w15:docId w15:val="{ECC4EFD2-043F-4F4F-B9DA-76499AD0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s">
    <w:name w:val="labels"/>
    <w:basedOn w:val="Normal"/>
    <w:pPr>
      <w:spacing w:line="280" w:lineRule="exact"/>
    </w:pPr>
    <w:rPr>
      <w:rFonts w:ascii="Arial" w:hAnsi="Arial"/>
      <w:sz w:val="22"/>
    </w:rPr>
  </w:style>
  <w:style w:type="paragraph" w:customStyle="1" w:styleId="Maintext">
    <w:name w:val="Main text"/>
    <w:basedOn w:val="labels"/>
    <w:pPr>
      <w:spacing w:line="240" w:lineRule="exact"/>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tterBody">
    <w:name w:val="Letter Body"/>
    <w:basedOn w:val="Normal"/>
    <w:pPr>
      <w:spacing w:line="240" w:lineRule="exact"/>
    </w:pPr>
    <w:rPr>
      <w:rFonts w:ascii="Arial" w:hAnsi="Arial"/>
      <w:sz w:val="19"/>
    </w:rPr>
  </w:style>
  <w:style w:type="paragraph" w:customStyle="1" w:styleId="StyleLetterBody">
    <w:name w:val="Style Letter Body"/>
    <w:basedOn w:val="LetterBody"/>
  </w:style>
  <w:style w:type="character" w:customStyle="1" w:styleId="StyleLetterBodyChar">
    <w:name w:val="Style Letter Body Char"/>
    <w:basedOn w:val="DefaultParagraphFont"/>
    <w:rPr>
      <w:rFonts w:ascii="Arial" w:eastAsia="Times" w:hAnsi="Arial"/>
      <w:noProof w:val="0"/>
      <w:sz w:val="19"/>
      <w:lang w:val="en-GB" w:eastAsia="en-US" w:bidi="ar-SA"/>
    </w:rPr>
  </w:style>
  <w:style w:type="table" w:styleId="TableGrid">
    <w:name w:val="Table Grid"/>
    <w:basedOn w:val="TableNormal"/>
    <w:rsid w:val="00F6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C22DB"/>
    <w:rPr>
      <w:sz w:val="16"/>
      <w:szCs w:val="16"/>
    </w:rPr>
  </w:style>
  <w:style w:type="paragraph" w:styleId="CommentText">
    <w:name w:val="annotation text"/>
    <w:basedOn w:val="Normal"/>
    <w:link w:val="CommentTextChar"/>
    <w:semiHidden/>
    <w:unhideWhenUsed/>
    <w:rsid w:val="007C22DB"/>
    <w:rPr>
      <w:sz w:val="20"/>
    </w:rPr>
  </w:style>
  <w:style w:type="character" w:customStyle="1" w:styleId="CommentTextChar">
    <w:name w:val="Comment Text Char"/>
    <w:basedOn w:val="DefaultParagraphFont"/>
    <w:link w:val="CommentText"/>
    <w:semiHidden/>
    <w:rsid w:val="007C22DB"/>
    <w:rPr>
      <w:lang w:eastAsia="en-US"/>
    </w:rPr>
  </w:style>
  <w:style w:type="paragraph" w:styleId="CommentSubject">
    <w:name w:val="annotation subject"/>
    <w:basedOn w:val="CommentText"/>
    <w:next w:val="CommentText"/>
    <w:link w:val="CommentSubjectChar"/>
    <w:semiHidden/>
    <w:unhideWhenUsed/>
    <w:rsid w:val="007C22DB"/>
    <w:rPr>
      <w:b/>
      <w:bCs/>
    </w:rPr>
  </w:style>
  <w:style w:type="character" w:customStyle="1" w:styleId="CommentSubjectChar">
    <w:name w:val="Comment Subject Char"/>
    <w:basedOn w:val="CommentTextChar"/>
    <w:link w:val="CommentSubject"/>
    <w:semiHidden/>
    <w:rsid w:val="007C22DB"/>
    <w:rPr>
      <w:b/>
      <w:bCs/>
      <w:lang w:eastAsia="en-US"/>
    </w:rPr>
  </w:style>
  <w:style w:type="paragraph" w:styleId="BalloonText">
    <w:name w:val="Balloon Text"/>
    <w:basedOn w:val="Normal"/>
    <w:link w:val="BalloonTextChar"/>
    <w:semiHidden/>
    <w:unhideWhenUsed/>
    <w:rsid w:val="007C22DB"/>
    <w:rPr>
      <w:rFonts w:ascii="Segoe UI" w:hAnsi="Segoe UI" w:cs="Segoe UI"/>
      <w:sz w:val="18"/>
      <w:szCs w:val="18"/>
    </w:rPr>
  </w:style>
  <w:style w:type="character" w:customStyle="1" w:styleId="BalloonTextChar">
    <w:name w:val="Balloon Text Char"/>
    <w:basedOn w:val="DefaultParagraphFont"/>
    <w:link w:val="BalloonText"/>
    <w:semiHidden/>
    <w:rsid w:val="007C22DB"/>
    <w:rPr>
      <w:rFonts w:ascii="Segoe UI" w:hAnsi="Segoe UI" w:cs="Segoe UI"/>
      <w:sz w:val="18"/>
      <w:szCs w:val="18"/>
      <w:lang w:eastAsia="en-US"/>
    </w:rPr>
  </w:style>
  <w:style w:type="character" w:styleId="Hyperlink">
    <w:name w:val="Hyperlink"/>
    <w:basedOn w:val="DefaultParagraphFont"/>
    <w:unhideWhenUsed/>
    <w:rsid w:val="006719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38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dcd4d639-de5a-4bad-aded-2c25c5bf9fca" xsi:nil="true"/>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Consumers</TermName>
          <TermId xmlns="http://schemas.microsoft.com/office/infopath/2007/PartnerControls">70584d00-9c5e-4b66-9bc2-62dea1879b80</TermId>
        </TermInfo>
      </Terms>
    </k0cb5e08406545c18344e2142bcf0abc>
    <TaxKeywordTaxHTField xmlns="dcd4d639-de5a-4bad-aded-2c25c5bf9fca">
      <Terms xmlns="http://schemas.microsoft.com/office/infopath/2007/PartnerControls"/>
    </TaxKeywordTaxHTField>
    <RoutingRuleDescription xmlns="http://schemas.microsoft.com/sharepoint/v3" xsi:nil="true"/>
    <n300bd280aac47c8b25aa7458bf0f8c4 xmlns="dcd4d639-de5a-4bad-aded-2c25c5bf9fca">
      <Terms xmlns="http://schemas.microsoft.com/office/infopath/2007/PartnerControls"/>
    </n300bd280aac47c8b25aa7458bf0f8c4>
    <TaxCatchAll xmlns="dcd4d639-de5a-4bad-aded-2c25c5bf9fca">
      <Value>831</Value>
    </TaxCatchAll>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 ma:contentTypeID="0x010100943D46E95D4A1B4FBA60C8AEF611E2190206090074F5DADB8DA9854CB780673841F2FC69" ma:contentTypeVersion="9" ma:contentTypeDescription="" ma:contentTypeScope="" ma:versionID="8dc75e448526bbbefcf6f24f49a4e450">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80c0df628c04bd8c03b2ba55de999909"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default=""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7c85119-18d9-41e7-8c9c-94d8ffdc55dc" ContentTypeId="0x010100943D46E95D4A1B4FBA60C8AEF611E219020609"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1776D7CA-4589-4C5F-AF11-1BA34D75081E}">
  <ds:schemaRefs>
    <ds:schemaRef ds:uri="http://schemas.microsoft.com/office/2006/metadata/properties"/>
    <ds:schemaRef ds:uri="http://www.w3.org/2000/xmlns/"/>
    <ds:schemaRef ds:uri="dcd4d639-de5a-4bad-aded-2c25c5bf9fca"/>
    <ds:schemaRef ds:uri="http://www.w3.org/2001/XMLSchema-instance"/>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11199A4-4C5A-445A-8BF8-B3DF6A63F45B}">
  <ds:schemaRefs>
    <ds:schemaRef ds:uri="http://schemas.microsoft.com/office/2006/metadata/customXsn"/>
  </ds:schemaRefs>
</ds:datastoreItem>
</file>

<file path=customXml/itemProps3.xml><?xml version="1.0" encoding="utf-8"?>
<ds:datastoreItem xmlns:ds="http://schemas.openxmlformats.org/officeDocument/2006/customXml" ds:itemID="{82B11FE1-101D-4ADC-8E08-214ACA682B2F}">
  <ds:schemaRefs>
    <ds:schemaRef ds:uri="http://schemas.microsoft.com/sharepoint/v3/contenttype/forms"/>
  </ds:schemaRefs>
</ds:datastoreItem>
</file>

<file path=customXml/itemProps4.xml><?xml version="1.0" encoding="utf-8"?>
<ds:datastoreItem xmlns:ds="http://schemas.openxmlformats.org/officeDocument/2006/customXml" ds:itemID="{BD5C2708-5595-4E6A-ACBC-F912D9B8F934}">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dcd4d639-de5a-4bad-aded-2c25c5bf9fca"/>
  </ds:schemaRefs>
</ds:datastoreItem>
</file>

<file path=customXml/itemProps5.xml><?xml version="1.0" encoding="utf-8"?>
<ds:datastoreItem xmlns:ds="http://schemas.openxmlformats.org/officeDocument/2006/customXml" ds:itemID="{9D54E7F6-2A7E-4E8B-BFC3-DB1E06C8B17B}">
  <ds:schemaRefs>
    <ds:schemaRef ds:uri="Microsoft.SharePoint.Taxonomy.ContentTypeSync"/>
  </ds:schemaRefs>
</ds:datastoreItem>
</file>

<file path=customXml/itemProps6.xml><?xml version="1.0" encoding="utf-8"?>
<ds:datastoreItem xmlns:ds="http://schemas.openxmlformats.org/officeDocument/2006/customXml" ds:itemID="{365EE5D1-BD42-4E9A-9A5E-C48D3A5E6935}">
  <ds:schemaRefs>
    <ds:schemaRef ds:uri="http://schemas.microsoft.com/sharepoint/event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To:  Insert date</vt:lpstr>
    </vt:vector>
  </TitlesOfParts>
  <Company>Orb Solutions</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Insert date</dc:title>
  <dc:subject/>
  <dc:creator>LCooke</dc:creator>
  <cp:keywords/>
  <cp:lastModifiedBy>Peter Causton</cp:lastModifiedBy>
  <cp:revision>16</cp:revision>
  <cp:lastPrinted>2016-09-07T09:20:00Z</cp:lastPrinted>
  <dcterms:created xsi:type="dcterms:W3CDTF">2020-11-02T19:04:00Z</dcterms:created>
  <dcterms:modified xsi:type="dcterms:W3CDTF">2020-11-02T19:17:00Z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0x010100943D46E95D4A1B4FBA60C8AEF611E2190206090074F5DADB8DA9854CB780673841F2FC69</vt:lpwstr>
  </property>
  <property fmtid="{D5CDD505-2E9C-101B-9397-08002B2CF9AE}" pid="3" name="_dlc_policyId">
    <vt:lpwstr/>
  </property>
  <property fmtid="{D5CDD505-2E9C-101B-9397-08002B2CF9AE}" pid="4" name="ItemRetentionFormula">
    <vt:lpwstr/>
  </property>
  <property fmtid="{D5CDD505-2E9C-101B-9397-08002B2CF9AE}" pid="5" name="TaxKeyword">
    <vt:lpwstr/>
  </property>
  <property fmtid="{D5CDD505-2E9C-101B-9397-08002B2CF9AE}" pid="6" name="Related Functions">
    <vt:lpwstr/>
  </property>
  <property fmtid="{D5CDD505-2E9C-101B-9397-08002B2CF9AE}" pid="7" name="j67390757fa349cbaf93204f5bf3176a">
    <vt:lpwstr/>
  </property>
  <property fmtid="{D5CDD505-2E9C-101B-9397-08002B2CF9AE}" pid="8" name="Stakeholder">
    <vt:lpwstr/>
  </property>
  <property fmtid="{D5CDD505-2E9C-101B-9397-08002B2CF9AE}" pid="9" name="Function">
    <vt:lpwstr>831;#Consumers|70584d00-9c5e-4b66-9bc2-62dea1879b80</vt:lpwstr>
  </property>
  <property fmtid="{D5CDD505-2E9C-101B-9397-08002B2CF9AE}" pid="10" name="ca506676becf4cdbb613025592e6b965">
    <vt:lpwstr/>
  </property>
  <property fmtid="{D5CDD505-2E9C-101B-9397-08002B2CF9AE}" pid="11" name="Operator">
    <vt:lpwstr/>
  </property>
  <property fmtid="{D5CDD505-2E9C-101B-9397-08002B2CF9AE}" pid="12" name="LTT Topic">
    <vt:lpwstr/>
  </property>
  <property fmtid="{D5CDD505-2E9C-101B-9397-08002B2CF9AE}" pid="13" name="l5cd9abbff024cf7bf00a775ad9fdd22">
    <vt:lpwstr/>
  </property>
  <property fmtid="{D5CDD505-2E9C-101B-9397-08002B2CF9AE}" pid="14" name="Project Document Type">
    <vt:lpwstr/>
  </property>
  <property fmtid="{D5CDD505-2E9C-101B-9397-08002B2CF9AE}" pid="15" name="Licensing Subject">
    <vt:lpwstr/>
  </property>
  <property fmtid="{D5CDD505-2E9C-101B-9397-08002B2CF9AE}" pid="16" name="Meeting Group">
    <vt:lpwstr/>
  </property>
  <property fmtid="{D5CDD505-2E9C-101B-9397-08002B2CF9AE}" pid="17" name="Finance Document">
    <vt:lpwstr/>
  </property>
  <property fmtid="{D5CDD505-2E9C-101B-9397-08002B2CF9AE}" pid="18" name="Regulator">
    <vt:lpwstr/>
  </property>
  <property fmtid="{D5CDD505-2E9C-101B-9397-08002B2CF9AE}" pid="19" name="Publication Type">
    <vt:lpwstr/>
  </property>
  <property fmtid="{D5CDD505-2E9C-101B-9397-08002B2CF9AE}" pid="20" name="Policy Type">
    <vt:lpwstr/>
  </property>
  <property fmtid="{D5CDD505-2E9C-101B-9397-08002B2CF9AE}" pid="21" name="Meeting Month">
    <vt:lpwstr/>
  </property>
  <property fmtid="{D5CDD505-2E9C-101B-9397-08002B2CF9AE}" pid="22" name="Public Release">
    <vt:lpwstr/>
  </property>
  <property fmtid="{D5CDD505-2E9C-101B-9397-08002B2CF9AE}" pid="23" name="Meeting Year">
    <vt:lpwstr/>
  </property>
  <property fmtid="{D5CDD505-2E9C-101B-9397-08002B2CF9AE}" pid="24" name="Meeting Document">
    <vt:lpwstr/>
  </property>
  <property fmtid="{D5CDD505-2E9C-101B-9397-08002B2CF9AE}" pid="25" name="Report Type">
    <vt:lpwstr/>
  </property>
  <property fmtid="{D5CDD505-2E9C-101B-9397-08002B2CF9AE}" pid="26" name="Operator ID">
    <vt:lpwstr/>
  </property>
  <property fmtid="{D5CDD505-2E9C-101B-9397-08002B2CF9AE}" pid="27" name="Contract Type">
    <vt:lpwstr/>
  </property>
  <property fmtid="{D5CDD505-2E9C-101B-9397-08002B2CF9AE}" pid="28" name="Incident Ref Number">
    <vt:lpwstr/>
  </property>
</Properties>
</file>