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1AC9" w14:textId="77777777" w:rsidR="0051381A" w:rsidRPr="00BD1B58" w:rsidRDefault="0051381A" w:rsidP="004077C1">
      <w:pPr>
        <w:pStyle w:val="Maintext"/>
        <w:spacing w:line="240" w:lineRule="auto"/>
        <w:rPr>
          <w:b/>
          <w:bCs/>
          <w:sz w:val="48"/>
          <w:szCs w:val="48"/>
        </w:rPr>
      </w:pPr>
      <w:bookmarkStart w:id="0" w:name="_GoBack"/>
      <w:bookmarkEnd w:id="0"/>
      <w:r>
        <w:rPr>
          <w:b/>
          <w:bCs/>
          <w:sz w:val="48"/>
          <w:szCs w:val="48"/>
        </w:rPr>
        <w:t>ADR Entity Reporting - Annual Report</w:t>
      </w:r>
    </w:p>
    <w:p w14:paraId="3DC6361C" w14:textId="77777777" w:rsidR="0051381A" w:rsidRPr="00BD1B58" w:rsidRDefault="0051381A" w:rsidP="004077C1">
      <w:pPr>
        <w:pStyle w:val="Maintext"/>
        <w:spacing w:line="240" w:lineRule="auto"/>
        <w:rPr>
          <w:sz w:val="22"/>
          <w:szCs w:val="22"/>
        </w:rPr>
      </w:pPr>
    </w:p>
    <w:p w14:paraId="7816A6A3" w14:textId="77777777" w:rsidR="0051381A" w:rsidRPr="00BD1B58" w:rsidRDefault="0051381A" w:rsidP="004077C1">
      <w:pPr>
        <w:pStyle w:val="Maintext"/>
        <w:spacing w:line="240" w:lineRule="auto"/>
        <w:rPr>
          <w:sz w:val="28"/>
          <w:szCs w:val="28"/>
        </w:rPr>
      </w:pPr>
      <w:r>
        <w:rPr>
          <w:sz w:val="28"/>
          <w:szCs w:val="28"/>
        </w:rPr>
        <w:t>Reporting period 1 October 2017 – 30 September 2018</w:t>
      </w:r>
    </w:p>
    <w:p w14:paraId="1803C396" w14:textId="77777777" w:rsidR="0051381A" w:rsidRDefault="0051381A" w:rsidP="004077C1">
      <w:pPr>
        <w:pStyle w:val="Maintext"/>
        <w:spacing w:line="280" w:lineRule="exact"/>
        <w:rPr>
          <w:sz w:val="22"/>
        </w:rPr>
      </w:pPr>
    </w:p>
    <w:p w14:paraId="63731B72" w14:textId="77777777" w:rsidR="0051381A" w:rsidRPr="00BD1B58" w:rsidRDefault="0051381A" w:rsidP="004077C1">
      <w:pPr>
        <w:pStyle w:val="Maintext"/>
        <w:spacing w:line="280" w:lineRule="exact"/>
        <w:rPr>
          <w:sz w:val="22"/>
          <w:szCs w:val="22"/>
        </w:rPr>
      </w:pPr>
      <w:r>
        <w:rPr>
          <w:sz w:val="22"/>
          <w:szCs w:val="22"/>
        </w:rPr>
        <w:t>ProMediate (UK) Limited</w:t>
      </w:r>
    </w:p>
    <w:p w14:paraId="51F0C8F8" w14:textId="77777777" w:rsidR="0051381A" w:rsidRDefault="0051381A" w:rsidP="004077C1">
      <w:pPr>
        <w:pStyle w:val="Maintext"/>
        <w:spacing w:line="280" w:lineRule="exact"/>
        <w:rPr>
          <w:sz w:val="22"/>
        </w:rPr>
      </w:pPr>
    </w:p>
    <w:p w14:paraId="1D5AA2CB" w14:textId="77777777" w:rsidR="0051381A" w:rsidRPr="00F67B91" w:rsidRDefault="0051381A" w:rsidP="004077C1">
      <w:pPr>
        <w:pStyle w:val="Maintext"/>
        <w:spacing w:line="280" w:lineRule="exact"/>
        <w:rPr>
          <w:sz w:val="22"/>
        </w:rPr>
      </w:pPr>
      <w:r w:rsidRPr="00F67B91">
        <w:rPr>
          <w:sz w:val="22"/>
        </w:rPr>
        <w:t>.</w:t>
      </w:r>
    </w:p>
    <w:tbl>
      <w:tblPr>
        <w:tblStyle w:val="TableGrid"/>
        <w:tblW w:w="9180" w:type="dxa"/>
        <w:tblLook w:val="04A0" w:firstRow="1" w:lastRow="0" w:firstColumn="1" w:lastColumn="0" w:noHBand="0" w:noVBand="1"/>
      </w:tblPr>
      <w:tblGrid>
        <w:gridCol w:w="4928"/>
        <w:gridCol w:w="4252"/>
      </w:tblGrid>
      <w:tr w:rsidR="0051381A" w:rsidRPr="00F67B91" w14:paraId="16E41689" w14:textId="77777777" w:rsidTr="004077C1">
        <w:tc>
          <w:tcPr>
            <w:tcW w:w="4928" w:type="dxa"/>
          </w:tcPr>
          <w:p w14:paraId="39241146" w14:textId="77777777" w:rsidR="0051381A" w:rsidRPr="00F67B91" w:rsidRDefault="0051381A" w:rsidP="004077C1">
            <w:pPr>
              <w:pStyle w:val="Maintext"/>
              <w:spacing w:line="280" w:lineRule="exact"/>
              <w:rPr>
                <w:b/>
                <w:sz w:val="22"/>
              </w:rPr>
            </w:pPr>
            <w:r w:rsidRPr="00F67B91">
              <w:rPr>
                <w:b/>
                <w:sz w:val="22"/>
              </w:rPr>
              <w:t>Information as specified in regulations</w:t>
            </w:r>
          </w:p>
        </w:tc>
        <w:tc>
          <w:tcPr>
            <w:tcW w:w="4252" w:type="dxa"/>
          </w:tcPr>
          <w:p w14:paraId="37B787DE" w14:textId="77777777" w:rsidR="0051381A" w:rsidRPr="00F67B91" w:rsidRDefault="0051381A" w:rsidP="004077C1">
            <w:pPr>
              <w:pStyle w:val="Maintext"/>
              <w:spacing w:line="280" w:lineRule="exact"/>
              <w:rPr>
                <w:b/>
                <w:sz w:val="22"/>
              </w:rPr>
            </w:pPr>
            <w:r>
              <w:rPr>
                <w:b/>
                <w:sz w:val="22"/>
              </w:rPr>
              <w:t>Basic guidance</w:t>
            </w:r>
          </w:p>
        </w:tc>
      </w:tr>
      <w:tr w:rsidR="0051381A" w:rsidRPr="00F67B91" w14:paraId="54A76FBE" w14:textId="77777777" w:rsidTr="004077C1">
        <w:tc>
          <w:tcPr>
            <w:tcW w:w="4928" w:type="dxa"/>
          </w:tcPr>
          <w:p w14:paraId="474132CD" w14:textId="77777777" w:rsidR="0051381A" w:rsidRPr="00F67B91" w:rsidRDefault="0051381A" w:rsidP="004077C1">
            <w:pPr>
              <w:pStyle w:val="Maintext"/>
              <w:numPr>
                <w:ilvl w:val="0"/>
                <w:numId w:val="1"/>
              </w:numPr>
              <w:rPr>
                <w:sz w:val="22"/>
              </w:rPr>
            </w:pPr>
            <w:r w:rsidRPr="00F67B91">
              <w:rPr>
                <w:sz w:val="22"/>
              </w:rPr>
              <w:t>the number of domestic disputes and cross-border disputes the ADR entity has received;</w:t>
            </w:r>
          </w:p>
        </w:tc>
        <w:tc>
          <w:tcPr>
            <w:tcW w:w="4252" w:type="dxa"/>
          </w:tcPr>
          <w:p w14:paraId="2B46C2AF" w14:textId="0989B17F" w:rsidR="0051381A" w:rsidRPr="00F67B91" w:rsidRDefault="00FA4B6F" w:rsidP="004077C1">
            <w:pPr>
              <w:pStyle w:val="Maintext"/>
              <w:spacing w:line="280" w:lineRule="exact"/>
              <w:rPr>
                <w:sz w:val="22"/>
              </w:rPr>
            </w:pPr>
            <w:r>
              <w:rPr>
                <w:sz w:val="22"/>
              </w:rPr>
              <w:t>61</w:t>
            </w:r>
          </w:p>
        </w:tc>
      </w:tr>
      <w:tr w:rsidR="0051381A" w:rsidRPr="00F67B91" w14:paraId="5AE2AC26" w14:textId="77777777" w:rsidTr="004077C1">
        <w:tc>
          <w:tcPr>
            <w:tcW w:w="4928" w:type="dxa"/>
          </w:tcPr>
          <w:p w14:paraId="3676A065" w14:textId="77777777" w:rsidR="0051381A" w:rsidRPr="00F67B91" w:rsidRDefault="0051381A" w:rsidP="004077C1">
            <w:pPr>
              <w:pStyle w:val="Maintext"/>
              <w:numPr>
                <w:ilvl w:val="0"/>
                <w:numId w:val="1"/>
              </w:numPr>
              <w:rPr>
                <w:sz w:val="22"/>
              </w:rPr>
            </w:pPr>
            <w:r w:rsidRPr="00F67B91">
              <w:rPr>
                <w:sz w:val="22"/>
              </w:rPr>
              <w:t>the types of complaints to which the domestic disputes and cross-border disputes relate;</w:t>
            </w:r>
          </w:p>
        </w:tc>
        <w:tc>
          <w:tcPr>
            <w:tcW w:w="4252" w:type="dxa"/>
          </w:tcPr>
          <w:p w14:paraId="1EA2794C" w14:textId="390F1F0B" w:rsidR="00DF55C3" w:rsidRDefault="00DF55C3" w:rsidP="004077C1">
            <w:pPr>
              <w:pStyle w:val="Maintext"/>
              <w:spacing w:line="280" w:lineRule="exact"/>
              <w:rPr>
                <w:sz w:val="22"/>
              </w:rPr>
            </w:pPr>
            <w:r>
              <w:rPr>
                <w:sz w:val="22"/>
              </w:rPr>
              <w:t>Disputes concerning lawyers and legal services.</w:t>
            </w:r>
          </w:p>
          <w:p w14:paraId="52002D0C" w14:textId="77777777" w:rsidR="00DF55C3" w:rsidRDefault="00DF55C3" w:rsidP="004077C1">
            <w:pPr>
              <w:pStyle w:val="Maintext"/>
              <w:spacing w:line="280" w:lineRule="exact"/>
              <w:rPr>
                <w:sz w:val="22"/>
              </w:rPr>
            </w:pPr>
          </w:p>
          <w:p w14:paraId="4BD76E4D" w14:textId="5A1425EF" w:rsidR="0051381A" w:rsidRDefault="00326EDA" w:rsidP="004077C1">
            <w:pPr>
              <w:pStyle w:val="Maintext"/>
              <w:spacing w:line="280" w:lineRule="exact"/>
              <w:rPr>
                <w:sz w:val="22"/>
              </w:rPr>
            </w:pPr>
            <w:r>
              <w:rPr>
                <w:sz w:val="22"/>
              </w:rPr>
              <w:t>Gambling disputes</w:t>
            </w:r>
          </w:p>
          <w:p w14:paraId="64555DFF" w14:textId="77777777" w:rsidR="00326EDA" w:rsidRDefault="00326EDA" w:rsidP="004077C1">
            <w:pPr>
              <w:pStyle w:val="Maintext"/>
              <w:spacing w:line="280" w:lineRule="exact"/>
              <w:rPr>
                <w:sz w:val="22"/>
              </w:rPr>
            </w:pPr>
          </w:p>
          <w:p w14:paraId="12E07B9E" w14:textId="77777777" w:rsidR="00D03E7A" w:rsidRDefault="00D03E7A" w:rsidP="004077C1">
            <w:pPr>
              <w:pStyle w:val="Maintext"/>
              <w:spacing w:line="280" w:lineRule="exact"/>
              <w:rPr>
                <w:sz w:val="22"/>
              </w:rPr>
            </w:pPr>
            <w:r>
              <w:rPr>
                <w:sz w:val="22"/>
              </w:rPr>
              <w:t>Credit hire and repair</w:t>
            </w:r>
          </w:p>
          <w:p w14:paraId="2E19C88B" w14:textId="77777777" w:rsidR="00D03E7A" w:rsidRDefault="00D03E7A" w:rsidP="004077C1">
            <w:pPr>
              <w:pStyle w:val="Maintext"/>
              <w:spacing w:line="280" w:lineRule="exact"/>
              <w:rPr>
                <w:sz w:val="22"/>
              </w:rPr>
            </w:pPr>
          </w:p>
          <w:p w14:paraId="60CA2161" w14:textId="02120B3E" w:rsidR="00D03E7A" w:rsidRDefault="00532622" w:rsidP="004077C1">
            <w:pPr>
              <w:pStyle w:val="Maintext"/>
              <w:spacing w:line="280" w:lineRule="exact"/>
              <w:rPr>
                <w:sz w:val="22"/>
              </w:rPr>
            </w:pPr>
            <w:r>
              <w:rPr>
                <w:sz w:val="22"/>
              </w:rPr>
              <w:t>Domestic building d</w:t>
            </w:r>
            <w:r w:rsidR="004E1F2A">
              <w:rPr>
                <w:sz w:val="22"/>
              </w:rPr>
              <w:t>isputes</w:t>
            </w:r>
          </w:p>
          <w:p w14:paraId="61409D56" w14:textId="77777777" w:rsidR="004E1F2A" w:rsidRDefault="004E1F2A" w:rsidP="004077C1">
            <w:pPr>
              <w:pStyle w:val="Maintext"/>
              <w:spacing w:line="280" w:lineRule="exact"/>
              <w:rPr>
                <w:sz w:val="22"/>
              </w:rPr>
            </w:pPr>
          </w:p>
          <w:p w14:paraId="6AFB7854" w14:textId="5C2BDDF9" w:rsidR="004E1F2A" w:rsidRDefault="004E1F2A" w:rsidP="004077C1">
            <w:pPr>
              <w:pStyle w:val="Maintext"/>
              <w:spacing w:line="280" w:lineRule="exact"/>
              <w:rPr>
                <w:sz w:val="22"/>
              </w:rPr>
            </w:pPr>
            <w:r>
              <w:rPr>
                <w:sz w:val="22"/>
              </w:rPr>
              <w:t>Purchase of shoes</w:t>
            </w:r>
          </w:p>
          <w:p w14:paraId="19EF7792" w14:textId="12CAD4EA" w:rsidR="004E1F2A" w:rsidRDefault="004E1F2A" w:rsidP="004077C1">
            <w:pPr>
              <w:pStyle w:val="Maintext"/>
              <w:spacing w:line="280" w:lineRule="exact"/>
              <w:rPr>
                <w:sz w:val="22"/>
              </w:rPr>
            </w:pPr>
          </w:p>
          <w:p w14:paraId="0A56C351" w14:textId="775EA26F" w:rsidR="004E1F2A" w:rsidRDefault="008730BC" w:rsidP="004077C1">
            <w:pPr>
              <w:pStyle w:val="Maintext"/>
              <w:spacing w:line="280" w:lineRule="exact"/>
              <w:rPr>
                <w:sz w:val="22"/>
              </w:rPr>
            </w:pPr>
            <w:r>
              <w:rPr>
                <w:sz w:val="22"/>
              </w:rPr>
              <w:t xml:space="preserve">Second hand car </w:t>
            </w:r>
            <w:r w:rsidR="00221FFD">
              <w:rPr>
                <w:sz w:val="22"/>
              </w:rPr>
              <w:t xml:space="preserve">purchase </w:t>
            </w:r>
            <w:r>
              <w:rPr>
                <w:sz w:val="22"/>
              </w:rPr>
              <w:t>and car repairs</w:t>
            </w:r>
          </w:p>
          <w:p w14:paraId="4B3D8DC4" w14:textId="13747A83" w:rsidR="00A026D3" w:rsidRDefault="00A026D3" w:rsidP="004077C1">
            <w:pPr>
              <w:pStyle w:val="Maintext"/>
              <w:spacing w:line="280" w:lineRule="exact"/>
              <w:rPr>
                <w:sz w:val="22"/>
              </w:rPr>
            </w:pPr>
          </w:p>
          <w:p w14:paraId="768CB30D" w14:textId="61CE53F4" w:rsidR="00A026D3" w:rsidRDefault="00A026D3" w:rsidP="004077C1">
            <w:pPr>
              <w:pStyle w:val="Maintext"/>
              <w:spacing w:line="280" w:lineRule="exact"/>
              <w:rPr>
                <w:sz w:val="22"/>
              </w:rPr>
            </w:pPr>
            <w:r>
              <w:rPr>
                <w:sz w:val="22"/>
              </w:rPr>
              <w:t xml:space="preserve">Wedding deposits </w:t>
            </w:r>
          </w:p>
          <w:p w14:paraId="4377B42C" w14:textId="6247D17A" w:rsidR="000F6A0C" w:rsidRDefault="000F6A0C" w:rsidP="004077C1">
            <w:pPr>
              <w:pStyle w:val="Maintext"/>
              <w:spacing w:line="280" w:lineRule="exact"/>
              <w:rPr>
                <w:sz w:val="22"/>
              </w:rPr>
            </w:pPr>
          </w:p>
          <w:p w14:paraId="2A788CCC" w14:textId="42E117D3" w:rsidR="000F6A0C" w:rsidRDefault="000F6A0C" w:rsidP="004077C1">
            <w:pPr>
              <w:pStyle w:val="Maintext"/>
              <w:spacing w:line="280" w:lineRule="exact"/>
              <w:rPr>
                <w:sz w:val="22"/>
              </w:rPr>
            </w:pPr>
            <w:r>
              <w:rPr>
                <w:sz w:val="22"/>
              </w:rPr>
              <w:t xml:space="preserve">Disputes </w:t>
            </w:r>
            <w:r w:rsidR="00736171">
              <w:rPr>
                <w:sz w:val="22"/>
              </w:rPr>
              <w:t xml:space="preserve">concerning </w:t>
            </w:r>
            <w:r w:rsidR="00B61870">
              <w:rPr>
                <w:sz w:val="22"/>
              </w:rPr>
              <w:t xml:space="preserve">building coatings </w:t>
            </w:r>
          </w:p>
          <w:p w14:paraId="505BC8B3" w14:textId="6C2F6D11" w:rsidR="00FA3761" w:rsidRDefault="00FA3761" w:rsidP="004077C1">
            <w:pPr>
              <w:pStyle w:val="Maintext"/>
              <w:spacing w:line="280" w:lineRule="exact"/>
              <w:rPr>
                <w:sz w:val="22"/>
              </w:rPr>
            </w:pPr>
          </w:p>
          <w:p w14:paraId="7278108C" w14:textId="05B477E4" w:rsidR="00FA3761" w:rsidRDefault="00FA3761" w:rsidP="004077C1">
            <w:pPr>
              <w:pStyle w:val="Maintext"/>
              <w:spacing w:line="280" w:lineRule="exact"/>
              <w:rPr>
                <w:sz w:val="22"/>
              </w:rPr>
            </w:pPr>
            <w:r>
              <w:rPr>
                <w:sz w:val="22"/>
              </w:rPr>
              <w:t xml:space="preserve">Complaints about holidays </w:t>
            </w:r>
          </w:p>
          <w:p w14:paraId="1312FF8E" w14:textId="4C440D4D" w:rsidR="004E1F2A" w:rsidRPr="00F67B91" w:rsidRDefault="004E1F2A" w:rsidP="004077C1">
            <w:pPr>
              <w:pStyle w:val="Maintext"/>
              <w:spacing w:line="280" w:lineRule="exact"/>
              <w:rPr>
                <w:sz w:val="22"/>
              </w:rPr>
            </w:pPr>
          </w:p>
        </w:tc>
      </w:tr>
      <w:tr w:rsidR="0051381A" w:rsidRPr="00F67B91" w14:paraId="1B51B809" w14:textId="77777777" w:rsidTr="004077C1">
        <w:tc>
          <w:tcPr>
            <w:tcW w:w="4928" w:type="dxa"/>
          </w:tcPr>
          <w:p w14:paraId="44F3052C" w14:textId="77777777" w:rsidR="0051381A" w:rsidRPr="00F67B91" w:rsidRDefault="0051381A" w:rsidP="004077C1">
            <w:pPr>
              <w:pStyle w:val="Maintext"/>
              <w:numPr>
                <w:ilvl w:val="0"/>
                <w:numId w:val="1"/>
              </w:numPr>
              <w:rPr>
                <w:sz w:val="22"/>
              </w:rPr>
            </w:pPr>
            <w:r w:rsidRPr="00F67B91">
              <w:rPr>
                <w:sz w:val="22"/>
              </w:rPr>
              <w:t>a description of any systematic or significant problems that occur frequently and lead to disputes between consumers and traders of which the ADR entity has become aware due to its operations as an ADR entity;</w:t>
            </w:r>
          </w:p>
        </w:tc>
        <w:tc>
          <w:tcPr>
            <w:tcW w:w="4252" w:type="dxa"/>
          </w:tcPr>
          <w:p w14:paraId="3A1A3AE2" w14:textId="1CBA53DE" w:rsidR="0051381A" w:rsidRPr="00F67B91" w:rsidRDefault="00FA3761" w:rsidP="004077C1">
            <w:pPr>
              <w:pStyle w:val="Maintext"/>
              <w:spacing w:line="280" w:lineRule="exact"/>
              <w:rPr>
                <w:sz w:val="22"/>
              </w:rPr>
            </w:pPr>
            <w:r>
              <w:rPr>
                <w:sz w:val="22"/>
              </w:rPr>
              <w:t>We are aware of disputes concerning vehicle sales and repair, the purchase of electrical items</w:t>
            </w:r>
            <w:r w:rsidR="00E91AFB">
              <w:rPr>
                <w:sz w:val="22"/>
              </w:rPr>
              <w:t xml:space="preserve">, </w:t>
            </w:r>
            <w:r w:rsidR="009427DC">
              <w:rPr>
                <w:sz w:val="22"/>
              </w:rPr>
              <w:t>the supply of legal services</w:t>
            </w:r>
            <w:r w:rsidR="009F01D1">
              <w:rPr>
                <w:sz w:val="22"/>
              </w:rPr>
              <w:t>, disputes with builders</w:t>
            </w:r>
            <w:r>
              <w:rPr>
                <w:sz w:val="22"/>
              </w:rPr>
              <w:t xml:space="preserve"> </w:t>
            </w:r>
            <w:r w:rsidR="00F31803">
              <w:rPr>
                <w:sz w:val="22"/>
              </w:rPr>
              <w:t>and carpet installation and fitting where the retailer</w:t>
            </w:r>
            <w:r w:rsidR="00EF68E1">
              <w:rPr>
                <w:sz w:val="22"/>
              </w:rPr>
              <w:t xml:space="preserve">, builder or lawyer </w:t>
            </w:r>
            <w:r w:rsidR="00F31803">
              <w:rPr>
                <w:sz w:val="22"/>
              </w:rPr>
              <w:t xml:space="preserve">refuses to use ADR. </w:t>
            </w:r>
          </w:p>
        </w:tc>
      </w:tr>
      <w:tr w:rsidR="0051381A" w:rsidRPr="00F67B91" w14:paraId="6DEE94D8" w14:textId="77777777" w:rsidTr="004077C1">
        <w:tc>
          <w:tcPr>
            <w:tcW w:w="4928" w:type="dxa"/>
          </w:tcPr>
          <w:p w14:paraId="290DF322" w14:textId="77777777" w:rsidR="0051381A" w:rsidRPr="00F67B91" w:rsidRDefault="0051381A" w:rsidP="004077C1">
            <w:pPr>
              <w:pStyle w:val="Maintext"/>
              <w:numPr>
                <w:ilvl w:val="0"/>
                <w:numId w:val="1"/>
              </w:numPr>
              <w:rPr>
                <w:sz w:val="22"/>
              </w:rPr>
            </w:pPr>
            <w:r w:rsidRPr="00F67B91">
              <w:rPr>
                <w:sz w:val="22"/>
              </w:rPr>
              <w:t>any recommendations the ADR entity may have as to how the problems referred to in paragraph (c) could be avoided or resolved in future, in order to raise traders’ standards and to facilitate the exchange of information and best practices;</w:t>
            </w:r>
          </w:p>
        </w:tc>
        <w:tc>
          <w:tcPr>
            <w:tcW w:w="4252" w:type="dxa"/>
          </w:tcPr>
          <w:p w14:paraId="0EAAD767" w14:textId="77777777" w:rsidR="0051381A" w:rsidRDefault="00EF68E1" w:rsidP="004077C1">
            <w:pPr>
              <w:pStyle w:val="Maintext"/>
              <w:spacing w:line="280" w:lineRule="exact"/>
              <w:rPr>
                <w:sz w:val="22"/>
              </w:rPr>
            </w:pPr>
            <w:r>
              <w:rPr>
                <w:sz w:val="22"/>
              </w:rPr>
              <w:t xml:space="preserve">In relation to building work disputes would </w:t>
            </w:r>
            <w:r w:rsidR="00E43024">
              <w:rPr>
                <w:sz w:val="22"/>
              </w:rPr>
              <w:t xml:space="preserve">reduce if builders provided accurate estimates for the work done </w:t>
            </w:r>
            <w:r w:rsidR="008138D8">
              <w:rPr>
                <w:sz w:val="22"/>
              </w:rPr>
              <w:t>and recorded variations to contracts.</w:t>
            </w:r>
          </w:p>
          <w:p w14:paraId="17352C3B" w14:textId="0C292C46" w:rsidR="008138D8" w:rsidRPr="00F67B91" w:rsidRDefault="008138D8" w:rsidP="004077C1">
            <w:pPr>
              <w:pStyle w:val="Maintext"/>
              <w:spacing w:line="280" w:lineRule="exact"/>
              <w:rPr>
                <w:sz w:val="22"/>
              </w:rPr>
            </w:pPr>
            <w:r>
              <w:rPr>
                <w:sz w:val="22"/>
              </w:rPr>
              <w:t xml:space="preserve">Generally, disputes could be resolved if </w:t>
            </w:r>
            <w:r w:rsidR="00DB0076">
              <w:rPr>
                <w:sz w:val="22"/>
              </w:rPr>
              <w:t xml:space="preserve">parties agreed to use ADR or had to do so before commencing or defending court proceedings. There is little incentive for traders to use ADR and </w:t>
            </w:r>
            <w:r w:rsidR="00B30290">
              <w:rPr>
                <w:sz w:val="22"/>
              </w:rPr>
              <w:t>we are not aware of any enforcement action for breach of the Regulations</w:t>
            </w:r>
            <w:r w:rsidR="009D0622">
              <w:rPr>
                <w:sz w:val="22"/>
              </w:rPr>
              <w:t>.</w:t>
            </w:r>
          </w:p>
        </w:tc>
      </w:tr>
      <w:tr w:rsidR="0051381A" w:rsidRPr="00F67B91" w14:paraId="603ADD06" w14:textId="77777777" w:rsidTr="004077C1">
        <w:tc>
          <w:tcPr>
            <w:tcW w:w="4928" w:type="dxa"/>
          </w:tcPr>
          <w:p w14:paraId="74D11242" w14:textId="77777777" w:rsidR="0051381A" w:rsidRPr="00F67B91" w:rsidRDefault="0051381A" w:rsidP="004077C1">
            <w:pPr>
              <w:pStyle w:val="Maintext"/>
              <w:numPr>
                <w:ilvl w:val="0"/>
                <w:numId w:val="1"/>
              </w:numPr>
              <w:rPr>
                <w:sz w:val="22"/>
              </w:rPr>
            </w:pPr>
            <w:r w:rsidRPr="00F67B91">
              <w:rPr>
                <w:sz w:val="22"/>
              </w:rPr>
              <w:lastRenderedPageBreak/>
              <w:t>the number of disputes which the ADR entity has refused to deal with, and percentage share of the grounds set out in paragraph 13 of Schedule 3 on which the ADR entity has declined to consider such disputes;</w:t>
            </w:r>
          </w:p>
        </w:tc>
        <w:tc>
          <w:tcPr>
            <w:tcW w:w="4252" w:type="dxa"/>
          </w:tcPr>
          <w:p w14:paraId="13B66E7B" w14:textId="77777777" w:rsidR="0051381A" w:rsidRPr="00F67B91" w:rsidRDefault="0051381A" w:rsidP="004077C1">
            <w:pPr>
              <w:pStyle w:val="Maintext"/>
              <w:rPr>
                <w:sz w:val="22"/>
              </w:rPr>
            </w:pPr>
            <w:r>
              <w:rPr>
                <w:sz w:val="22"/>
              </w:rPr>
              <w:t>We have not refused to deal with any disputes.</w:t>
            </w:r>
          </w:p>
          <w:p w14:paraId="58B92BF0" w14:textId="77777777" w:rsidR="0051381A" w:rsidRDefault="0051381A" w:rsidP="004077C1">
            <w:pPr>
              <w:pStyle w:val="Maintext"/>
              <w:numPr>
                <w:ilvl w:val="0"/>
                <w:numId w:val="2"/>
              </w:numPr>
              <w:rPr>
                <w:sz w:val="22"/>
              </w:rPr>
            </w:pPr>
            <w:r w:rsidRPr="00F67B91">
              <w:rPr>
                <w:sz w:val="22"/>
              </w:rPr>
              <w:t>Percentage split between the</w:t>
            </w:r>
            <w:r>
              <w:rPr>
                <w:sz w:val="22"/>
              </w:rPr>
              <w:t xml:space="preserve"> 6 categories of grounds for refusal in para 13 Schedule 3 - 0%</w:t>
            </w:r>
          </w:p>
          <w:p w14:paraId="4FA7A096" w14:textId="7AB8ACDC" w:rsidR="0051381A" w:rsidRPr="005121B3" w:rsidRDefault="0051381A" w:rsidP="005121B3">
            <w:pPr>
              <w:pStyle w:val="Maintext"/>
              <w:ind w:left="360"/>
              <w:rPr>
                <w:sz w:val="22"/>
              </w:rPr>
            </w:pPr>
          </w:p>
          <w:p w14:paraId="6CC86E42" w14:textId="77777777" w:rsidR="0051381A" w:rsidRPr="00F67B91" w:rsidRDefault="0051381A" w:rsidP="004077C1">
            <w:pPr>
              <w:pStyle w:val="Maintext"/>
              <w:numPr>
                <w:ilvl w:val="0"/>
                <w:numId w:val="2"/>
              </w:numPr>
              <w:rPr>
                <w:sz w:val="22"/>
              </w:rPr>
            </w:pPr>
            <w:r>
              <w:rPr>
                <w:sz w:val="22"/>
              </w:rPr>
              <w:t>cases discontinued for non-operational reasons 0%</w:t>
            </w:r>
          </w:p>
        </w:tc>
      </w:tr>
      <w:tr w:rsidR="0051381A" w:rsidRPr="00F67B91" w14:paraId="0A15387B" w14:textId="77777777" w:rsidTr="004077C1">
        <w:tc>
          <w:tcPr>
            <w:tcW w:w="4928" w:type="dxa"/>
          </w:tcPr>
          <w:p w14:paraId="4D3E238B" w14:textId="77777777" w:rsidR="0051381A" w:rsidRPr="00F67B91" w:rsidRDefault="0051381A" w:rsidP="004077C1">
            <w:pPr>
              <w:pStyle w:val="Maintext"/>
              <w:numPr>
                <w:ilvl w:val="0"/>
                <w:numId w:val="1"/>
              </w:numPr>
              <w:rPr>
                <w:sz w:val="22"/>
              </w:rPr>
            </w:pPr>
            <w:r w:rsidRPr="00F67B91">
              <w:rPr>
                <w:sz w:val="22"/>
              </w:rPr>
              <w:t>the percentage of alternative dispute resolution procedures which were discontinued for operational reasons and, if known, the reasons for the discontinuation;</w:t>
            </w:r>
          </w:p>
        </w:tc>
        <w:tc>
          <w:tcPr>
            <w:tcW w:w="4252" w:type="dxa"/>
          </w:tcPr>
          <w:p w14:paraId="63E668B4" w14:textId="77777777" w:rsidR="0051381A" w:rsidRPr="00F67B91" w:rsidRDefault="0051381A" w:rsidP="004077C1">
            <w:pPr>
              <w:pStyle w:val="Maintext"/>
              <w:numPr>
                <w:ilvl w:val="0"/>
                <w:numId w:val="3"/>
              </w:numPr>
              <w:rPr>
                <w:sz w:val="22"/>
              </w:rPr>
            </w:pPr>
            <w:r>
              <w:rPr>
                <w:sz w:val="22"/>
              </w:rPr>
              <w:t>n/a</w:t>
            </w:r>
          </w:p>
          <w:p w14:paraId="194BC019" w14:textId="77777777" w:rsidR="0051381A" w:rsidRPr="00F67B91" w:rsidRDefault="0051381A" w:rsidP="004077C1">
            <w:pPr>
              <w:pStyle w:val="Maintext"/>
              <w:numPr>
                <w:ilvl w:val="0"/>
                <w:numId w:val="3"/>
              </w:numPr>
              <w:rPr>
                <w:sz w:val="22"/>
              </w:rPr>
            </w:pPr>
            <w:r w:rsidRPr="00F67B91">
              <w:rPr>
                <w:sz w:val="22"/>
              </w:rPr>
              <w:t>n/a</w:t>
            </w:r>
          </w:p>
        </w:tc>
      </w:tr>
      <w:tr w:rsidR="0051381A" w:rsidRPr="00F67B91" w14:paraId="7C80B069" w14:textId="77777777" w:rsidTr="004077C1">
        <w:tc>
          <w:tcPr>
            <w:tcW w:w="4928" w:type="dxa"/>
          </w:tcPr>
          <w:p w14:paraId="6B247F67" w14:textId="77777777" w:rsidR="0051381A" w:rsidRPr="00F67B91" w:rsidRDefault="0051381A" w:rsidP="004077C1">
            <w:pPr>
              <w:pStyle w:val="Maintext"/>
              <w:numPr>
                <w:ilvl w:val="0"/>
                <w:numId w:val="1"/>
              </w:numPr>
              <w:rPr>
                <w:sz w:val="22"/>
              </w:rPr>
            </w:pPr>
            <w:r w:rsidRPr="00F67B91">
              <w:rPr>
                <w:sz w:val="22"/>
              </w:rPr>
              <w:t>the average time taken to resolve domestic disputes and cross-border disputes;</w:t>
            </w:r>
          </w:p>
        </w:tc>
        <w:tc>
          <w:tcPr>
            <w:tcW w:w="4252" w:type="dxa"/>
          </w:tcPr>
          <w:p w14:paraId="72387F83" w14:textId="086ADB41" w:rsidR="0051381A" w:rsidRPr="00F67B91" w:rsidRDefault="0051381A" w:rsidP="004077C1">
            <w:pPr>
              <w:pStyle w:val="Maintext"/>
              <w:spacing w:line="280" w:lineRule="exact"/>
              <w:rPr>
                <w:sz w:val="22"/>
              </w:rPr>
            </w:pPr>
            <w:r>
              <w:rPr>
                <w:sz w:val="22"/>
              </w:rPr>
              <w:t>Average time in days</w:t>
            </w:r>
            <w:r w:rsidRPr="00F67B91">
              <w:rPr>
                <w:sz w:val="22"/>
              </w:rPr>
              <w:t xml:space="preserve"> –</w:t>
            </w:r>
            <w:r>
              <w:rPr>
                <w:sz w:val="22"/>
              </w:rPr>
              <w:t xml:space="preserve"> average</w:t>
            </w:r>
            <w:r w:rsidR="00197B8C">
              <w:rPr>
                <w:sz w:val="22"/>
              </w:rPr>
              <w:t xml:space="preserve"> </w:t>
            </w:r>
            <w:r w:rsidR="008F664D">
              <w:rPr>
                <w:sz w:val="22"/>
              </w:rPr>
              <w:t>19 d</w:t>
            </w:r>
            <w:r>
              <w:rPr>
                <w:sz w:val="22"/>
              </w:rPr>
              <w:t>ays from notification – domestic only.</w:t>
            </w:r>
          </w:p>
        </w:tc>
      </w:tr>
      <w:tr w:rsidR="0051381A" w:rsidRPr="00F67B91" w14:paraId="099DB3DB" w14:textId="77777777" w:rsidTr="004077C1">
        <w:tc>
          <w:tcPr>
            <w:tcW w:w="4928" w:type="dxa"/>
          </w:tcPr>
          <w:p w14:paraId="6FFC94AB" w14:textId="77777777" w:rsidR="0051381A" w:rsidRPr="00F67B91" w:rsidRDefault="0051381A" w:rsidP="004077C1">
            <w:pPr>
              <w:pStyle w:val="Maintext"/>
              <w:numPr>
                <w:ilvl w:val="0"/>
                <w:numId w:val="1"/>
              </w:numPr>
              <w:rPr>
                <w:sz w:val="22"/>
              </w:rPr>
            </w:pPr>
            <w:r w:rsidRPr="00F67B91">
              <w:rPr>
                <w:sz w:val="22"/>
              </w:rPr>
              <w:t>the rate of compliance, if known, with the outcomes of the alternative dispute resolution procedures;</w:t>
            </w:r>
          </w:p>
        </w:tc>
        <w:tc>
          <w:tcPr>
            <w:tcW w:w="4252" w:type="dxa"/>
          </w:tcPr>
          <w:p w14:paraId="47E04CF2" w14:textId="77777777" w:rsidR="0051381A" w:rsidRDefault="0051381A" w:rsidP="004077C1">
            <w:pPr>
              <w:pStyle w:val="Maintext"/>
              <w:spacing w:line="280" w:lineRule="exact"/>
              <w:rPr>
                <w:sz w:val="22"/>
              </w:rPr>
            </w:pPr>
            <w:r>
              <w:rPr>
                <w:sz w:val="22"/>
              </w:rPr>
              <w:t xml:space="preserve">100% </w:t>
            </w:r>
          </w:p>
          <w:p w14:paraId="02F4BE41" w14:textId="3D7CE075" w:rsidR="0051381A" w:rsidRPr="00F67B91" w:rsidRDefault="0051381A" w:rsidP="004077C1">
            <w:pPr>
              <w:pStyle w:val="Maintext"/>
              <w:spacing w:line="280" w:lineRule="exact"/>
              <w:rPr>
                <w:sz w:val="22"/>
              </w:rPr>
            </w:pPr>
            <w:r>
              <w:rPr>
                <w:sz w:val="22"/>
              </w:rPr>
              <w:t>Customers would complain further  not returned.</w:t>
            </w:r>
          </w:p>
          <w:p w14:paraId="02336B08" w14:textId="77777777" w:rsidR="0051381A" w:rsidRPr="00F67B91" w:rsidRDefault="0051381A" w:rsidP="004077C1">
            <w:pPr>
              <w:pStyle w:val="Maintext"/>
              <w:spacing w:line="280" w:lineRule="exact"/>
              <w:rPr>
                <w:sz w:val="22"/>
              </w:rPr>
            </w:pPr>
          </w:p>
        </w:tc>
      </w:tr>
      <w:tr w:rsidR="0051381A" w:rsidRPr="00F67B91" w14:paraId="44081AE0" w14:textId="77777777" w:rsidTr="004077C1">
        <w:tc>
          <w:tcPr>
            <w:tcW w:w="4928" w:type="dxa"/>
          </w:tcPr>
          <w:p w14:paraId="0209878A" w14:textId="77777777" w:rsidR="0051381A" w:rsidRPr="00F67B91" w:rsidRDefault="0051381A" w:rsidP="004077C1">
            <w:pPr>
              <w:pStyle w:val="Maintext"/>
              <w:numPr>
                <w:ilvl w:val="0"/>
                <w:numId w:val="1"/>
              </w:numPr>
              <w:rPr>
                <w:sz w:val="22"/>
              </w:rPr>
            </w:pPr>
            <w:r w:rsidRPr="00F67B91">
              <w:rPr>
                <w:sz w:val="22"/>
              </w:rPr>
              <w:t>the co-operation, if any, of the ADR entity within any network of ADR entities which facilitates the resolution of cross-border disputes.</w:t>
            </w:r>
          </w:p>
        </w:tc>
        <w:tc>
          <w:tcPr>
            <w:tcW w:w="4252" w:type="dxa"/>
          </w:tcPr>
          <w:p w14:paraId="42A160B7" w14:textId="77777777" w:rsidR="0051381A" w:rsidRPr="00F67B91" w:rsidRDefault="0051381A" w:rsidP="004077C1">
            <w:pPr>
              <w:pStyle w:val="Maintext"/>
              <w:spacing w:line="280" w:lineRule="exact"/>
              <w:rPr>
                <w:sz w:val="22"/>
              </w:rPr>
            </w:pPr>
            <w:r>
              <w:rPr>
                <w:sz w:val="22"/>
              </w:rPr>
              <w:t>N/a</w:t>
            </w:r>
          </w:p>
        </w:tc>
      </w:tr>
    </w:tbl>
    <w:p w14:paraId="05FBEC34" w14:textId="77777777" w:rsidR="0051381A" w:rsidRDefault="0051381A" w:rsidP="004077C1">
      <w:pPr>
        <w:pStyle w:val="Maintext"/>
        <w:spacing w:line="280" w:lineRule="exact"/>
        <w:rPr>
          <w:sz w:val="22"/>
        </w:rPr>
      </w:pPr>
    </w:p>
    <w:p w14:paraId="2CA13ECA" w14:textId="77777777" w:rsidR="0051381A" w:rsidRDefault="0051381A"/>
    <w:sectPr w:rsidR="00513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717EC"/>
    <w:multiLevelType w:val="hybridMultilevel"/>
    <w:tmpl w:val="29FC1132"/>
    <w:lvl w:ilvl="0" w:tplc="25908A38">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24E3F"/>
    <w:multiLevelType w:val="hybridMultilevel"/>
    <w:tmpl w:val="35543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C00F56"/>
    <w:multiLevelType w:val="hybridMultilevel"/>
    <w:tmpl w:val="FA1CC1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580681"/>
    <w:multiLevelType w:val="hybridMultilevel"/>
    <w:tmpl w:val="66AC6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1A"/>
    <w:rsid w:val="000F6A0C"/>
    <w:rsid w:val="00197B8C"/>
    <w:rsid w:val="001F778A"/>
    <w:rsid w:val="00221FFD"/>
    <w:rsid w:val="00326EDA"/>
    <w:rsid w:val="0036116A"/>
    <w:rsid w:val="004E1F2A"/>
    <w:rsid w:val="005121B3"/>
    <w:rsid w:val="0051381A"/>
    <w:rsid w:val="0053259B"/>
    <w:rsid w:val="00532622"/>
    <w:rsid w:val="00736171"/>
    <w:rsid w:val="008138D8"/>
    <w:rsid w:val="008730BC"/>
    <w:rsid w:val="00886A00"/>
    <w:rsid w:val="008F664D"/>
    <w:rsid w:val="009427DC"/>
    <w:rsid w:val="009D0622"/>
    <w:rsid w:val="009F01D1"/>
    <w:rsid w:val="00A026D3"/>
    <w:rsid w:val="00B30290"/>
    <w:rsid w:val="00B61870"/>
    <w:rsid w:val="00BC62CE"/>
    <w:rsid w:val="00D03E7A"/>
    <w:rsid w:val="00DB0076"/>
    <w:rsid w:val="00DF55C3"/>
    <w:rsid w:val="00E43024"/>
    <w:rsid w:val="00E91AFB"/>
    <w:rsid w:val="00EF68E1"/>
    <w:rsid w:val="00F04B33"/>
    <w:rsid w:val="00F31803"/>
    <w:rsid w:val="00F75CB7"/>
    <w:rsid w:val="00FA3761"/>
    <w:rsid w:val="00FA4B6F"/>
    <w:rsid w:val="00FB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FD4B66"/>
  <w15:chartTrackingRefBased/>
  <w15:docId w15:val="{011D6A2C-F3D6-E941-A40E-45A90389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51381A"/>
    <w:pPr>
      <w:spacing w:after="0" w:line="240" w:lineRule="exact"/>
    </w:pPr>
    <w:rPr>
      <w:rFonts w:ascii="Arial" w:eastAsia="Times" w:hAnsi="Arial" w:cs="Times New Roman"/>
      <w:sz w:val="20"/>
      <w:szCs w:val="20"/>
      <w:lang w:eastAsia="en-US"/>
    </w:rPr>
  </w:style>
  <w:style w:type="table" w:styleId="TableGrid">
    <w:name w:val="Table Grid"/>
    <w:basedOn w:val="TableNormal"/>
    <w:rsid w:val="0051381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Causton</dc:creator>
  <cp:keywords/>
  <dc:description/>
  <cp:lastModifiedBy>Causton, DDJ Peter</cp:lastModifiedBy>
  <cp:revision>2</cp:revision>
  <dcterms:created xsi:type="dcterms:W3CDTF">2019-08-01T17:03:00Z</dcterms:created>
  <dcterms:modified xsi:type="dcterms:W3CDTF">2019-08-01T17:03:00Z</dcterms:modified>
</cp:coreProperties>
</file>